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0"/>
        <w:jc w:val="left"/>
      </w:pPr>
      <w:r>
        <w:drawing>
          <wp:inline xmlns:a="http://schemas.openxmlformats.org/drawingml/2006/main" xmlns:pic="http://schemas.openxmlformats.org/drawingml/2006/picture">
            <wp:extent cx="3246120" cy="1082040"/>
            <wp:docPr id="1" name="Picture 1"/>
            <wp:cNvGraphicFramePr>
              <a:graphicFrameLocks noChangeAspect="1"/>
            </wp:cNvGraphicFramePr>
            <a:graphic>
              <a:graphicData uri="http://schemas.openxmlformats.org/drawingml/2006/picture">
                <pic:pic>
                  <pic:nvPicPr>
                    <pic:cNvPr id="0" name="sbi-logo-light-background-flat-1200x400.png"/>
                    <pic:cNvPicPr/>
                  </pic:nvPicPr>
                  <pic:blipFill>
                    <a:blip r:embed="rId10"/>
                    <a:stretch>
                      <a:fillRect/>
                    </a:stretch>
                  </pic:blipFill>
                  <pic:spPr>
                    <a:xfrm>
                      <a:off x="0" y="0"/>
                      <a:ext cx="3246120" cy="1082040"/>
                    </a:xfrm>
                    <a:prstGeom prst="rect"/>
                  </pic:spPr>
                </pic:pic>
              </a:graphicData>
            </a:graphic>
          </wp:inline>
        </w:drawing>
      </w:r>
    </w:p>
    <w:p>
      <w:pPr>
        <w:spacing w:before="0" w:after="140" w:line="259" w:lineRule="auto"/>
      </w:pPr>
      <w:r>
        <w:rPr>
          <w:rFonts w:ascii="Arial" w:hAnsi="Arial"/>
          <w:b/>
          <w:i w:val="0"/>
          <w:color w:val="258A63"/>
          <w:sz w:val="19"/>
        </w:rPr>
        <w:t>PRACTICAL COMPLIANCE RESOURCE</w:t>
      </w:r>
    </w:p>
    <w:p>
      <w:pPr>
        <w:pStyle w:val="Title"/>
        <w:spacing w:after="240"/>
      </w:pPr>
      <w:r>
        <w:rPr>
          <w:rFonts w:ascii="Arial" w:hAnsi="Arial"/>
          <w:b/>
          <w:i w:val="0"/>
          <w:color w:val="0B2343"/>
          <w:sz w:val="60"/>
        </w:rPr>
        <w:t>Written Information Security</w:t>
        <w:br/>
        <w:t>Plan</w:t>
      </w:r>
    </w:p>
    <w:p>
      <w:pPr>
        <w:spacing w:before="0" w:after="320" w:line="259" w:lineRule="auto"/>
      </w:pPr>
      <w:r>
        <w:rPr>
          <w:rFonts w:ascii="Arial" w:hAnsi="Arial"/>
          <w:b/>
          <w:i w:val="0"/>
          <w:color w:val="2457E6"/>
          <w:sz w:val="29"/>
        </w:rPr>
        <w:t>TEMPLATE FOR TAX &amp; ACCOUNTING PRACTICES</w:t>
      </w:r>
    </w:p>
    <w:tbl>
      <w:tblPr>
        <w:tblW w:type="auto" w:w="0"/>
        <w:jc w:val="center"/>
        <w:tblLayout w:type="fixed"/>
        <w:tblLook w:firstColumn="1" w:firstRow="1" w:lastColumn="0" w:lastRow="0" w:noHBand="0" w:noVBand="1" w:val="04A0"/>
      </w:tblPr>
      <w:tblGrid>
        <w:gridCol w:w="10282"/>
      </w:tblGrid>
      <w:tr>
        <w:tc>
          <w:tcPr>
            <w:tcW w:type="dxa" w:w="10108"/>
            <w:shd w:fill="0B2343"/>
            <w:tcMar>
              <w:top w:w="155" w:type="dxa"/>
              <w:start w:w="165" w:type="dxa"/>
              <w:bottom w:w="155" w:type="dxa"/>
              <w:end w:w="165" w:type="dxa"/>
            </w:tcMar>
            <w:tcBorders>
              <w:top w:val="nil"/>
              <w:left w:val="nil"/>
              <w:bottom w:val="nil"/>
              <w:right w:val="nil"/>
            </w:tcBorders>
          </w:tcPr>
          <w:p>
            <w:pPr>
              <w:spacing w:before="0" w:after="0" w:line="259" w:lineRule="auto"/>
              <w:jc w:val="center"/>
            </w:pPr>
            <w:r>
              <w:rPr>
                <w:rFonts w:ascii="Arial" w:hAnsi="Arial"/>
                <w:b/>
                <w:i w:val="0"/>
                <w:color w:val="FFFFFF"/>
                <w:sz w:val="18"/>
              </w:rPr>
              <w:t>EDITABLE  •  FILLABLE  •  2026 PROFESSIONAL EDITION</w:t>
            </w:r>
          </w:p>
        </w:tc>
      </w:tr>
    </w:tbl>
    <w:p>
      <w:pPr>
        <w:spacing w:before="260" w:after="360" w:line="293" w:lineRule="auto"/>
      </w:pPr>
      <w:r>
        <w:rPr>
          <w:rFonts w:ascii="Arial" w:hAnsi="Arial"/>
          <w:b w:val="0"/>
          <w:i w:val="0"/>
          <w:color w:val="12233F"/>
          <w:sz w:val="21"/>
        </w:rPr>
        <w:t>A practical operating document for U.S. tax preparers, bookkeepers and accounting firms. Complete every prompt, assign each action and retain evidence of implementation.</w:t>
      </w:r>
    </w:p>
    <w:p>
      <w:pPr>
        <w:spacing w:before="0" w:after="140" w:line="259" w:lineRule="auto"/>
      </w:pPr>
      <w:r>
        <w:rPr>
          <w:rFonts w:ascii="Arial" w:hAnsi="Arial"/>
          <w:b/>
          <w:i w:val="0"/>
          <w:color w:val="52627A"/>
          <w:sz w:val="16"/>
        </w:rPr>
        <w:t>USE THIS TEMPLATE TO</w:t>
      </w:r>
    </w:p>
    <w:tbl>
      <w:tblPr>
        <w:tblW w:type="auto" w:w="0"/>
        <w:jc w:val="center"/>
        <w:tblLayout w:type="fixed"/>
        <w:tblLook w:firstColumn="1" w:firstRow="1" w:lastColumn="0" w:lastRow="0" w:noHBand="0" w:noVBand="1" w:val="04A0"/>
      </w:tblPr>
      <w:tblGrid>
        <w:gridCol w:w="3427"/>
        <w:gridCol w:w="3427"/>
        <w:gridCol w:w="3427"/>
      </w:tblGrid>
      <w:tr>
        <w:tc>
          <w:tcPr>
            <w:tcW w:type="dxa" w:w="3369"/>
            <w:vAlign w:val="top"/>
            <w:shd w:fill="EDF4FF"/>
            <w:tcMar>
              <w:top w:w="180" w:type="dxa"/>
              <w:start w:w="165" w:type="dxa"/>
              <w:bottom w:w="180" w:type="dxa"/>
              <w:end w:w="165" w:type="dxa"/>
            </w:tcMar>
            <w:tcBorders>
              <w:top w:val="single" w:sz="5" w:color="D8E1EC"/>
              <w:left w:val="single" w:sz="5" w:color="D8E1EC"/>
              <w:bottom w:val="single" w:sz="5" w:color="D8E1EC"/>
              <w:right w:val="single" w:sz="5" w:color="D8E1EC"/>
            </w:tcBorders>
          </w:tcPr>
          <w:p>
            <w:pPr>
              <w:spacing w:before="0" w:after="120" w:line="259" w:lineRule="auto"/>
            </w:pPr>
            <w:r>
              <w:rPr>
                <w:rFonts w:ascii="Arial" w:hAnsi="Arial"/>
                <w:b/>
                <w:i w:val="0"/>
                <w:color w:val="2457E6"/>
                <w:sz w:val="18"/>
              </w:rPr>
              <w:t>01</w:t>
            </w:r>
          </w:p>
          <w:p>
            <w:pPr>
              <w:spacing w:before="0" w:after="100" w:line="259" w:lineRule="auto"/>
            </w:pPr>
            <w:r>
              <w:rPr>
                <w:rFonts w:ascii="Arial" w:hAnsi="Arial"/>
                <w:b/>
                <w:i w:val="0"/>
                <w:color w:val="0B2343"/>
                <w:sz w:val="20"/>
              </w:rPr>
              <w:t>Map exposure</w:t>
            </w:r>
          </w:p>
          <w:p>
            <w:pPr>
              <w:spacing w:before="0" w:after="0" w:line="278" w:lineRule="auto"/>
            </w:pPr>
            <w:r>
              <w:rPr>
                <w:rFonts w:ascii="Arial" w:hAnsi="Arial"/>
                <w:b w:val="0"/>
                <w:i w:val="0"/>
                <w:color w:val="12233F"/>
                <w:sz w:val="17"/>
              </w:rPr>
              <w:t>Document information, systems, access and vendors.</w:t>
            </w:r>
          </w:p>
        </w:tc>
        <w:tc>
          <w:tcPr>
            <w:tcW w:type="dxa" w:w="3369"/>
            <w:vAlign w:val="top"/>
            <w:shd w:fill="E8F7F0"/>
            <w:tcMar>
              <w:top w:w="180" w:type="dxa"/>
              <w:start w:w="165" w:type="dxa"/>
              <w:bottom w:w="180" w:type="dxa"/>
              <w:end w:w="165" w:type="dxa"/>
            </w:tcMar>
            <w:tcBorders>
              <w:top w:val="single" w:sz="5" w:color="D8E1EC"/>
              <w:left w:val="single" w:sz="5" w:color="D8E1EC"/>
              <w:bottom w:val="single" w:sz="5" w:color="D8E1EC"/>
              <w:right w:val="single" w:sz="5" w:color="D8E1EC"/>
            </w:tcBorders>
          </w:tcPr>
          <w:p>
            <w:pPr>
              <w:spacing w:before="0" w:after="120" w:line="259" w:lineRule="auto"/>
            </w:pPr>
            <w:r>
              <w:rPr>
                <w:rFonts w:ascii="Arial" w:hAnsi="Arial"/>
                <w:b/>
                <w:i w:val="0"/>
                <w:color w:val="258A63"/>
                <w:sz w:val="18"/>
              </w:rPr>
              <w:t>02</w:t>
            </w:r>
          </w:p>
          <w:p>
            <w:pPr>
              <w:spacing w:before="0" w:after="100" w:line="259" w:lineRule="auto"/>
            </w:pPr>
            <w:r>
              <w:rPr>
                <w:rFonts w:ascii="Arial" w:hAnsi="Arial"/>
                <w:b/>
                <w:i w:val="0"/>
                <w:color w:val="0B2343"/>
                <w:sz w:val="20"/>
              </w:rPr>
              <w:t>Assign controls</w:t>
            </w:r>
          </w:p>
          <w:p>
            <w:pPr>
              <w:spacing w:before="0" w:after="0" w:line="278" w:lineRule="auto"/>
            </w:pPr>
            <w:r>
              <w:rPr>
                <w:rFonts w:ascii="Arial" w:hAnsi="Arial"/>
                <w:b w:val="0"/>
                <w:i w:val="0"/>
                <w:color w:val="12233F"/>
                <w:sz w:val="17"/>
              </w:rPr>
              <w:t>Give safeguards, risks and open actions clear owners.</w:t>
            </w:r>
          </w:p>
        </w:tc>
        <w:tc>
          <w:tcPr>
            <w:tcW w:type="dxa" w:w="3369"/>
            <w:vAlign w:val="top"/>
            <w:shd w:fill="EDF4FF"/>
            <w:tcMar>
              <w:top w:w="180" w:type="dxa"/>
              <w:start w:w="165" w:type="dxa"/>
              <w:bottom w:w="180" w:type="dxa"/>
              <w:end w:w="165" w:type="dxa"/>
            </w:tcMar>
            <w:tcBorders>
              <w:top w:val="single" w:sz="5" w:color="D8E1EC"/>
              <w:left w:val="single" w:sz="5" w:color="D8E1EC"/>
              <w:bottom w:val="single" w:sz="5" w:color="D8E1EC"/>
              <w:right w:val="single" w:sz="5" w:color="D8E1EC"/>
            </w:tcBorders>
          </w:tcPr>
          <w:p>
            <w:pPr>
              <w:spacing w:before="0" w:after="120" w:line="259" w:lineRule="auto"/>
            </w:pPr>
            <w:r>
              <w:rPr>
                <w:rFonts w:ascii="Arial" w:hAnsi="Arial"/>
                <w:b/>
                <w:i w:val="0"/>
                <w:color w:val="2457E6"/>
                <w:sz w:val="18"/>
              </w:rPr>
              <w:t>03</w:t>
            </w:r>
          </w:p>
          <w:p>
            <w:pPr>
              <w:spacing w:before="0" w:after="100" w:line="259" w:lineRule="auto"/>
            </w:pPr>
            <w:r>
              <w:rPr>
                <w:rFonts w:ascii="Arial" w:hAnsi="Arial"/>
                <w:b/>
                <w:i w:val="0"/>
                <w:color w:val="0B2343"/>
                <w:sz w:val="20"/>
              </w:rPr>
              <w:t>Retain evidence</w:t>
            </w:r>
          </w:p>
          <w:p>
            <w:pPr>
              <w:spacing w:before="0" w:after="0" w:line="278" w:lineRule="auto"/>
            </w:pPr>
            <w:r>
              <w:rPr>
                <w:rFonts w:ascii="Arial" w:hAnsi="Arial"/>
                <w:b w:val="0"/>
                <w:i w:val="0"/>
                <w:color w:val="12233F"/>
                <w:sz w:val="17"/>
              </w:rPr>
              <w:t>Create an approval, testing and review trail.</w:t>
            </w:r>
          </w:p>
        </w:tc>
      </w:tr>
    </w:tbl>
    <w:p>
      <w:pPr>
        <w:spacing w:before="320"/>
      </w:pPr>
      <w:r>
        <w:rPr>
          <w:rFonts w:ascii="Arial" w:hAnsi="Arial"/>
          <w:b/>
          <w:i w:val="0"/>
          <w:color w:val="52627A"/>
          <w:sz w:val="16"/>
        </w:rPr>
        <w:t>BASED ON CURRENT GUIDANCE FROM</w:t>
      </w:r>
    </w:p>
    <w:p>
      <w:pPr>
        <w:spacing w:before="0" w:after="120" w:line="259" w:lineRule="auto"/>
      </w:pPr>
      <w:r>
        <w:rPr>
          <w:rFonts w:ascii="Arial" w:hAnsi="Arial"/>
          <w:b/>
          <w:i w:val="0"/>
          <w:color w:val="0B2343"/>
          <w:sz w:val="21"/>
        </w:rPr>
        <w:t>FTC Safeguards Rule  |  IRS Publications 4557 and 5708</w:t>
      </w:r>
    </w:p>
    <w:p>
      <w:pPr>
        <w:spacing w:before="60" w:after="180" w:line="274" w:lineRule="auto"/>
      </w:pPr>
      <w:r>
        <w:rPr>
          <w:rFonts w:ascii="Arial" w:hAnsi="Arial"/>
          <w:b/>
          <w:i w:val="0"/>
          <w:color w:val="0B2343"/>
          <w:sz w:val="20"/>
        </w:rPr>
        <w:t xml:space="preserve">Version 2.0 </w:t>
      </w:r>
      <w:r>
        <w:rPr>
          <w:rFonts w:ascii="Arial" w:hAnsi="Arial"/>
          <w:b w:val="0"/>
          <w:i w:val="0"/>
          <w:color w:val="12233F"/>
          <w:sz w:val="20"/>
        </w:rPr>
        <w:t>Last reviewed October 2026.</w:t>
      </w:r>
    </w:p>
    <w:p>
      <w:pPr>
        <w:spacing w:before="220"/>
      </w:pPr>
      <w:r>
        <w:rPr>
          <w:rFonts w:ascii="Arial" w:hAnsi="Arial"/>
          <w:b w:val="0"/>
          <w:i w:val="0"/>
          <w:color w:val="52627A"/>
          <w:sz w:val="18"/>
        </w:rPr>
        <w:t>Prepared by the Small Business Insured Editorial Team</w:t>
      </w:r>
    </w:p>
    <w:p>
      <w:r>
        <w:rPr>
          <w:rFonts w:ascii="Arial" w:hAnsi="Arial"/>
          <w:b/>
          <w:i w:val="0"/>
          <w:color w:val="2457E6"/>
          <w:sz w:val="18"/>
        </w:rPr>
        <w:t>smallbusinessinsured.com  |  admin@smallbusinessinsured.com</w:t>
      </w:r>
    </w:p>
    <w:p>
      <w:pPr>
        <w:spacing w:before="160"/>
      </w:pPr>
      <w:r>
        <w:rPr>
          <w:rFonts w:ascii="Arial" w:hAnsi="Arial"/>
          <w:b w:val="0"/>
          <w:i/>
          <w:color w:val="52627A"/>
          <w:sz w:val="16"/>
        </w:rPr>
        <w:t>Independent educational template — not an official IRS form and not legal, cybersecurity, tax or insurance advice.</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01</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Quick Start and Document Map</w:t>
            </w:r>
          </w:p>
        </w:tc>
      </w:tr>
    </w:tbl>
    <w:p>
      <w:pPr>
        <w:spacing w:before="100" w:after="180" w:line="274" w:lineRule="auto"/>
      </w:pPr>
      <w:r>
        <w:rPr>
          <w:rFonts w:ascii="Arial" w:hAnsi="Arial"/>
          <w:b w:val="0"/>
          <w:i/>
          <w:color w:val="52627A"/>
          <w:sz w:val="20"/>
        </w:rPr>
        <w:t>Begin here, then work through the plan in order.</w:t>
      </w:r>
    </w:p>
    <w:p>
      <w:pPr>
        <w:pStyle w:val="Heading2"/>
      </w:pPr>
      <w:r>
        <w:t>Before you type</w:t>
      </w:r>
    </w:p>
    <w:p>
      <w:pPr>
        <w:spacing w:before="0" w:after="160" w:line="274" w:lineRule="auto"/>
      </w:pPr>
      <w:r>
        <w:rPr>
          <w:rFonts w:ascii="Arial" w:hAnsi="Arial"/>
          <w:b w:val="0"/>
          <w:i w:val="0"/>
          <w:color w:val="12233F"/>
          <w:sz w:val="20"/>
        </w:rPr>
        <w:t>Save a controlled working copy, appoint one owner and collect current system, vendor, insurance and incident-contact information.</w:t>
      </w:r>
    </w:p>
    <w:p>
      <w:pPr>
        <w:spacing w:before="0" w:after="160" w:line="274" w:lineRule="auto"/>
        <w:ind w:left="461" w:hanging="461"/>
      </w:pPr>
      <w:r>
        <w:rPr>
          <w:rFonts w:ascii="Arial" w:hAnsi="Arial"/>
          <w:b/>
          <w:i w:val="0"/>
          <w:color w:val="2457E6"/>
          <w:sz w:val="20"/>
        </w:rPr>
        <w:t xml:space="preserve">1. </w:t>
      </w:r>
      <w:r>
        <w:rPr>
          <w:rFonts w:ascii="Arial" w:hAnsi="Arial"/>
          <w:b/>
          <w:i w:val="0"/>
          <w:color w:val="0B2343"/>
          <w:sz w:val="20"/>
        </w:rPr>
        <w:t xml:space="preserve">Scope: </w:t>
      </w:r>
      <w:r>
        <w:rPr>
          <w:rFonts w:ascii="Arial" w:hAnsi="Arial"/>
          <w:b w:val="0"/>
          <w:i w:val="0"/>
          <w:color w:val="12233F"/>
          <w:sz w:val="20"/>
        </w:rPr>
        <w:t>Confirm the practices, people, systems and customer information covered by this plan.</w:t>
      </w:r>
    </w:p>
    <w:p>
      <w:pPr>
        <w:spacing w:before="0" w:after="160" w:line="274" w:lineRule="auto"/>
        <w:ind w:left="461" w:hanging="461"/>
      </w:pPr>
      <w:r>
        <w:rPr>
          <w:rFonts w:ascii="Arial" w:hAnsi="Arial"/>
          <w:b/>
          <w:i w:val="0"/>
          <w:color w:val="2457E6"/>
          <w:sz w:val="20"/>
        </w:rPr>
        <w:t xml:space="preserve">2. </w:t>
      </w:r>
      <w:r>
        <w:rPr>
          <w:rFonts w:ascii="Arial" w:hAnsi="Arial"/>
          <w:b/>
          <w:i w:val="0"/>
          <w:color w:val="0B2343"/>
          <w:sz w:val="20"/>
        </w:rPr>
        <w:t xml:space="preserve">Assess: </w:t>
      </w:r>
      <w:r>
        <w:rPr>
          <w:rFonts w:ascii="Arial" w:hAnsi="Arial"/>
          <w:b w:val="0"/>
          <w:i w:val="0"/>
          <w:color w:val="12233F"/>
          <w:sz w:val="20"/>
        </w:rPr>
        <w:t>Inventory data and tools, rate risks and record current safeguards and gaps.</w:t>
      </w:r>
    </w:p>
    <w:p>
      <w:pPr>
        <w:spacing w:before="0" w:after="160" w:line="274" w:lineRule="auto"/>
        <w:ind w:left="461" w:hanging="461"/>
      </w:pPr>
      <w:r>
        <w:rPr>
          <w:rFonts w:ascii="Arial" w:hAnsi="Arial"/>
          <w:b/>
          <w:i w:val="0"/>
          <w:color w:val="2457E6"/>
          <w:sz w:val="20"/>
        </w:rPr>
        <w:t xml:space="preserve">3. </w:t>
      </w:r>
      <w:r>
        <w:rPr>
          <w:rFonts w:ascii="Arial" w:hAnsi="Arial"/>
          <w:b/>
          <w:i w:val="0"/>
          <w:color w:val="0B2343"/>
          <w:sz w:val="20"/>
        </w:rPr>
        <w:t xml:space="preserve">Act: </w:t>
      </w:r>
      <w:r>
        <w:rPr>
          <w:rFonts w:ascii="Arial" w:hAnsi="Arial"/>
          <w:b w:val="0"/>
          <w:i w:val="0"/>
          <w:color w:val="12233F"/>
          <w:sz w:val="20"/>
        </w:rPr>
        <w:t>Give each open item an owner, due date and evidence source.</w:t>
      </w:r>
    </w:p>
    <w:p>
      <w:pPr>
        <w:spacing w:before="0" w:after="160" w:line="274" w:lineRule="auto"/>
        <w:ind w:left="461" w:hanging="461"/>
      </w:pPr>
      <w:r>
        <w:rPr>
          <w:rFonts w:ascii="Arial" w:hAnsi="Arial"/>
          <w:b/>
          <w:i w:val="0"/>
          <w:color w:val="2457E6"/>
          <w:sz w:val="20"/>
        </w:rPr>
        <w:t xml:space="preserve">4. </w:t>
      </w:r>
      <w:r>
        <w:rPr>
          <w:rFonts w:ascii="Arial" w:hAnsi="Arial"/>
          <w:b/>
          <w:i w:val="0"/>
          <w:color w:val="0B2343"/>
          <w:sz w:val="20"/>
        </w:rPr>
        <w:t xml:space="preserve">Approve: </w:t>
      </w:r>
      <w:r>
        <w:rPr>
          <w:rFonts w:ascii="Arial" w:hAnsi="Arial"/>
          <w:b w:val="0"/>
          <w:i w:val="0"/>
          <w:color w:val="12233F"/>
          <w:sz w:val="20"/>
        </w:rPr>
        <w:t>Obtain qualified review where appropriate, secure leadership approval and train personnel.</w:t>
      </w:r>
    </w:p>
    <w:p>
      <w:pPr>
        <w:spacing w:before="0" w:after="160" w:line="274" w:lineRule="auto"/>
        <w:ind w:left="461" w:hanging="461"/>
      </w:pPr>
      <w:r>
        <w:rPr>
          <w:rFonts w:ascii="Arial" w:hAnsi="Arial"/>
          <w:b/>
          <w:i w:val="0"/>
          <w:color w:val="2457E6"/>
          <w:sz w:val="20"/>
        </w:rPr>
        <w:t xml:space="preserve">5. </w:t>
      </w:r>
      <w:r>
        <w:rPr>
          <w:rFonts w:ascii="Arial" w:hAnsi="Arial"/>
          <w:b/>
          <w:i w:val="0"/>
          <w:color w:val="0B2343"/>
          <w:sz w:val="20"/>
        </w:rPr>
        <w:t xml:space="preserve">Maintain: </w:t>
      </w:r>
      <w:r>
        <w:rPr>
          <w:rFonts w:ascii="Arial" w:hAnsi="Arial"/>
          <w:b w:val="0"/>
          <w:i w:val="0"/>
          <w:color w:val="12233F"/>
          <w:sz w:val="20"/>
        </w:rPr>
        <w:t>Test safeguards, review vendors and update the WISP after material change and at least annually.</w:t>
      </w:r>
    </w:p>
    <w:p>
      <w:pPr>
        <w:pStyle w:val="Heading2"/>
      </w:pPr>
      <w:r>
        <w:t>Document map</w:t>
      </w:r>
    </w:p>
    <w:p>
      <w:pPr>
        <w:spacing w:before="0" w:after="160" w:line="274" w:lineRule="auto"/>
      </w:pPr>
      <w:r>
        <w:rPr>
          <w:rFonts w:ascii="Arial" w:hAnsi="Arial"/>
          <w:b w:val="0"/>
          <w:i w:val="0"/>
          <w:color w:val="12233F"/>
          <w:sz w:val="20"/>
        </w:rPr>
        <w:t>Each section is designed as a one-page working module.</w:t>
      </w:r>
    </w:p>
    <w:tbl>
      <w:tblPr>
        <w:tblW w:type="auto" w:w="0"/>
        <w:jc w:val="center"/>
        <w:tblLayout w:type="fixed"/>
        <w:tblLook w:firstColumn="1" w:firstRow="1" w:lastColumn="0" w:lastRow="0" w:noHBand="0" w:noVBand="1" w:val="04A0"/>
      </w:tblPr>
      <w:tblGrid>
        <w:gridCol w:w="893"/>
        <w:gridCol w:w="4147"/>
        <w:gridCol w:w="893"/>
        <w:gridCol w:w="4147"/>
      </w:tblGrid>
      <w:tr>
        <w:trPr>
          <w:tblHeader w:val="true"/>
        </w:trPr>
        <w:tc>
          <w:tcPr>
            <w:tcW w:type="dxa" w:w="89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8"/>
              </w:rPr>
              <w:t>PAGES</w:t>
            </w:r>
          </w:p>
        </w:tc>
        <w:tc>
          <w:tcPr>
            <w:tcW w:type="dxa" w:w="4147"/>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MODULE</w:t>
            </w:r>
          </w:p>
        </w:tc>
        <w:tc>
          <w:tcPr>
            <w:tcW w:type="dxa" w:w="89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8"/>
              </w:rPr>
              <w:t>PAGES</w:t>
            </w:r>
          </w:p>
        </w:tc>
        <w:tc>
          <w:tcPr>
            <w:tcW w:type="dxa" w:w="4147"/>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MODULE</w:t>
            </w:r>
          </w:p>
        </w:tc>
      </w:tr>
      <w:tr>
        <w:trPr>
          <w:cantSplit/>
        </w:trPr>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3</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Applicability and use</w:t>
            </w:r>
          </w:p>
        </w:tc>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8"/>
              </w:rPr>
              <w:t>11</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Vendor oversight</w:t>
            </w:r>
          </w:p>
        </w:tc>
      </w:tr>
      <w:tr>
        <w:trPr>
          <w:cantSplit/>
        </w:trPr>
        <w:tc>
          <w:tcPr>
            <w:tcW w:type="dxa" w:w="8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4</w:t>
            </w:r>
          </w:p>
        </w:tc>
        <w:tc>
          <w:tcPr>
            <w:tcW w:type="dxa" w:w="4147"/>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Profile and governance</w:t>
            </w:r>
          </w:p>
        </w:tc>
        <w:tc>
          <w:tcPr>
            <w:tcW w:type="dxa" w:w="8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8"/>
              </w:rPr>
              <w:t>12</w:t>
            </w:r>
          </w:p>
        </w:tc>
        <w:tc>
          <w:tcPr>
            <w:tcW w:type="dxa" w:w="4147"/>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Training, monitoring and testing</w:t>
            </w:r>
          </w:p>
        </w:tc>
      </w:tr>
      <w:tr>
        <w:trPr>
          <w:cantSplit/>
        </w:trPr>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5–6</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Information and tool inventory</w:t>
            </w:r>
          </w:p>
        </w:tc>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8"/>
              </w:rPr>
              <w:t>13–14</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Incident response and reporting</w:t>
            </w:r>
          </w:p>
        </w:tc>
      </w:tr>
      <w:tr>
        <w:trPr>
          <w:cantSplit/>
        </w:trPr>
        <w:tc>
          <w:tcPr>
            <w:tcW w:type="dxa" w:w="8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7</w:t>
            </w:r>
          </w:p>
        </w:tc>
        <w:tc>
          <w:tcPr>
            <w:tcW w:type="dxa" w:w="4147"/>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Written risk assessment</w:t>
            </w:r>
          </w:p>
        </w:tc>
        <w:tc>
          <w:tcPr>
            <w:tcW w:type="dxa" w:w="8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8"/>
              </w:rPr>
              <w:t>15</w:t>
            </w:r>
          </w:p>
        </w:tc>
        <w:tc>
          <w:tcPr>
            <w:tcW w:type="dxa" w:w="4147"/>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Continuity, retention and disposal</w:t>
            </w:r>
          </w:p>
        </w:tc>
      </w:tr>
      <w:tr>
        <w:trPr>
          <w:cantSplit/>
        </w:trPr>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8</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Core safeguards</w:t>
            </w:r>
          </w:p>
        </w:tc>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8"/>
              </w:rPr>
              <w:t>16</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Annual report and change control</w:t>
            </w:r>
          </w:p>
        </w:tc>
      </w:tr>
      <w:tr>
        <w:trPr>
          <w:cantSplit/>
        </w:trPr>
        <w:tc>
          <w:tcPr>
            <w:tcW w:type="dxa" w:w="8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9</w:t>
            </w:r>
          </w:p>
        </w:tc>
        <w:tc>
          <w:tcPr>
            <w:tcW w:type="dxa" w:w="4147"/>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Access, devices and remote work</w:t>
            </w:r>
          </w:p>
        </w:tc>
        <w:tc>
          <w:tcPr>
            <w:tcW w:type="dxa" w:w="8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8"/>
              </w:rPr>
              <w:t>17</w:t>
            </w:r>
          </w:p>
        </w:tc>
        <w:tc>
          <w:tcPr>
            <w:tcW w:type="dxa" w:w="4147"/>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Suggested 30-day implementation</w:t>
            </w:r>
          </w:p>
        </w:tc>
      </w:tr>
      <w:tr>
        <w:trPr>
          <w:cantSplit/>
        </w:trPr>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10</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Personnel accountability</w:t>
            </w:r>
          </w:p>
        </w:tc>
        <w:tc>
          <w:tcPr>
            <w:tcW w:type="dxa" w:w="8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8"/>
              </w:rPr>
              <w:t>18–19</w:t>
            </w:r>
          </w:p>
        </w:tc>
        <w:tc>
          <w:tcPr>
            <w:tcW w:type="dxa" w:w="4147"/>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Glossary, sources and notice</w:t>
            </w:r>
          </w:p>
        </w:tc>
      </w:tr>
    </w:tbl>
    <w:p>
      <w:pPr>
        <w:spacing w:before="60" w:after="180" w:line="274" w:lineRule="auto"/>
      </w:pPr>
      <w:r>
        <w:rPr>
          <w:rFonts w:ascii="Arial" w:hAnsi="Arial"/>
          <w:b/>
          <w:i w:val="0"/>
          <w:color w:val="258A63"/>
          <w:sz w:val="20"/>
        </w:rPr>
        <w:t xml:space="preserve">Completion standard: </w:t>
      </w:r>
      <w:r>
        <w:rPr>
          <w:rFonts w:ascii="Arial" w:hAnsi="Arial"/>
          <w:b w:val="0"/>
          <w:i w:val="0"/>
          <w:color w:val="12233F"/>
          <w:sz w:val="20"/>
        </w:rPr>
        <w:t>A bracketed prompt is unfinished. Replace it with a fact, decision, responsible person, date or documented “not applicable” rationale.</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02</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Applicability and How to Use This Template</w:t>
            </w:r>
          </w:p>
        </w:tc>
      </w:tr>
    </w:tbl>
    <w:p>
      <w:pPr>
        <w:spacing w:before="100" w:after="180" w:line="274" w:lineRule="auto"/>
      </w:pPr>
      <w:r>
        <w:rPr>
          <w:rFonts w:ascii="Arial" w:hAnsi="Arial"/>
          <w:b w:val="0"/>
          <w:i/>
          <w:color w:val="52627A"/>
          <w:sz w:val="20"/>
        </w:rPr>
        <w:t>Document why the program fits the practice; do not assume that small means exempt.</w:t>
      </w:r>
    </w:p>
    <w:tbl>
      <w:tblPr>
        <w:tblW w:type="auto" w:w="0"/>
        <w:jc w:val="center"/>
        <w:tblLayout w:type="fixed"/>
        <w:tblLook w:firstColumn="1" w:firstRow="1" w:lastColumn="0" w:lastRow="0" w:noHBand="0" w:noVBand="1" w:val="04A0"/>
      </w:tblPr>
      <w:tblGrid>
        <w:gridCol w:w="173"/>
        <w:gridCol w:w="9936"/>
      </w:tblGrid>
      <w:tr>
        <w:tc>
          <w:tcPr>
            <w:tcW w:type="dxa" w:w="5141"/>
            <w:shd w:fill="B47B00"/>
            <w:tcMar>
              <w:top w:w="0" w:type="dxa"/>
              <w:start w:w="0" w:type="dxa"/>
              <w:bottom w:w="0" w:type="dxa"/>
              <w:end w:w="0" w:type="dxa"/>
            </w:tcMar>
            <w:tcBorders>
              <w:top w:val="nil"/>
              <w:left w:val="nil"/>
              <w:bottom w:val="nil"/>
              <w:right w:val="nil"/>
            </w:tcBorders>
          </w:tcPr>
          <w:p/>
        </w:tc>
        <w:tc>
          <w:tcPr>
            <w:tcW w:type="dxa" w:w="5141"/>
            <w:shd w:fill="FFF7E2"/>
            <w:tcMar>
              <w:top w:w="145" w:type="dxa"/>
              <w:start w:w="165" w:type="dxa"/>
              <w:bottom w:w="145" w:type="dxa"/>
              <w:end w:w="165" w:type="dxa"/>
            </w:tcMar>
            <w:tcBorders>
              <w:top w:val="nil"/>
              <w:left w:val="nil"/>
              <w:bottom w:val="nil"/>
              <w:right w:val="nil"/>
            </w:tcBorders>
          </w:tcPr>
          <w:p>
            <w:pPr>
              <w:spacing w:before="0" w:after="80" w:line="259" w:lineRule="auto"/>
            </w:pPr>
            <w:r>
              <w:rPr>
                <w:rFonts w:ascii="Arial" w:hAnsi="Arial"/>
                <w:b/>
                <w:i w:val="0"/>
                <w:color w:val="B47B00"/>
                <w:sz w:val="20"/>
              </w:rPr>
              <w:t>A template is not a completed security program</w:t>
            </w:r>
          </w:p>
          <w:p>
            <w:pPr>
              <w:spacing w:before="0" w:after="0" w:line="274" w:lineRule="auto"/>
            </w:pPr>
            <w:r>
              <w:rPr>
                <w:rFonts w:ascii="Arial" w:hAnsi="Arial"/>
                <w:b w:val="0"/>
                <w:i w:val="0"/>
                <w:color w:val="12233F"/>
                <w:sz w:val="19"/>
              </w:rPr>
              <w:t>The written program should fit the size and complexity of the practice, the nature and scope of its activities and the sensitivity of the customer information it handles. Adapt this document to actual operations and retain evidence that safeguards work.</w:t>
            </w:r>
          </w:p>
        </w:tc>
      </w:tr>
    </w:tbl>
    <w:p>
      <w:pPr>
        <w:spacing w:after="0"/>
      </w:pPr>
    </w:p>
    <w:p>
      <w:pPr>
        <w:pStyle w:val="Heading2"/>
      </w:pPr>
      <w:r>
        <w:t>Applicability screen</w:t>
      </w:r>
    </w:p>
    <w:p>
      <w:pPr>
        <w:spacing w:before="0" w:after="160" w:line="274" w:lineRule="auto"/>
      </w:pPr>
      <w:r>
        <w:rPr>
          <w:rFonts w:ascii="Arial" w:hAnsi="Arial"/>
          <w:b w:val="0"/>
          <w:i w:val="0"/>
          <w:color w:val="12233F"/>
          <w:sz w:val="20"/>
        </w:rPr>
        <w:t>Record the facts used to determine the practice’s obligations.</w:t>
      </w:r>
    </w:p>
    <w:tbl>
      <w:tblPr>
        <w:tblW w:type="auto" w:w="0"/>
        <w:jc w:val="center"/>
        <w:tblLayout w:type="fixed"/>
        <w:tblLook w:firstColumn="1" w:firstRow="1" w:lastColumn="0" w:lastRow="0" w:noHBand="0" w:noVBand="1" w:val="04A0"/>
      </w:tblPr>
      <w:tblGrid>
        <w:gridCol w:w="3024"/>
        <w:gridCol w:w="7085"/>
      </w:tblGrid>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Customer information maintained</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[Describe the types and approximate volume]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Estimated consumers represented</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estimate and method]</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Fewer than 5,000 consumers</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[Yes, no or professional review required]</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Applicable federal requirements</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[List requirements and rationale]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Applicable state / contractual duties</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[List jurisdictions, contracts and insurer duties]</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Assessment completed by / date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[Name, role and date]</w:t>
            </w:r>
          </w:p>
        </w:tc>
      </w:tr>
    </w:tbl>
    <w:p>
      <w:pPr>
        <w:spacing w:before="60" w:after="180" w:line="274" w:lineRule="auto"/>
      </w:pPr>
      <w:r>
        <w:rPr>
          <w:rFonts w:ascii="Arial" w:hAnsi="Arial"/>
          <w:b/>
          <w:i w:val="0"/>
          <w:color w:val="0B2343"/>
          <w:sz w:val="20"/>
        </w:rPr>
        <w:t xml:space="preserve">Small-institution point: </w:t>
      </w:r>
      <w:r>
        <w:rPr>
          <w:rFonts w:ascii="Arial" w:hAnsi="Arial"/>
          <w:b w:val="0"/>
          <w:i w:val="0"/>
          <w:color w:val="12233F"/>
          <w:sz w:val="20"/>
        </w:rPr>
        <w:t>Maintaining customer information concerning fewer than 5,000 consumers may exempt a financial institution from certain enhanced Safeguards Rule provisions; it does not remove the rule or every safeguard obligation. Confirm the effect for this practice with qualified counsel.</w:t>
      </w:r>
    </w:p>
    <w:p>
      <w:pPr>
        <w:pStyle w:val="Heading2"/>
      </w:pPr>
      <w:r>
        <w:t>Use and evidence rules</w:t>
      </w:r>
    </w:p>
    <w:p>
      <w:pPr>
        <w:spacing w:before="0" w:after="160" w:line="274" w:lineRule="auto"/>
      </w:pPr>
      <w:r>
        <w:rPr>
          <w:rFonts w:ascii="Arial" w:hAnsi="Arial"/>
          <w:b w:val="0"/>
          <w:i w:val="0"/>
          <w:color w:val="12233F"/>
          <w:sz w:val="20"/>
        </w:rPr>
        <w:t>Apply these rules throughout the document.</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Replace every prompt; do not leave silent blanks.</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Link every material safeguard to an owner, review frequency and evidence source.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Mark an item not applicable only with a short documented rationale.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Keep sensitive security details in a restricted appendix if broad distribution creates risk.</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Review after incidents, major system or vendor changes, staffing changes and new legal obligations.</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03</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Practice Profile and Governance</w:t>
            </w:r>
          </w:p>
        </w:tc>
      </w:tr>
    </w:tbl>
    <w:p>
      <w:pPr>
        <w:spacing w:before="100" w:after="180" w:line="274" w:lineRule="auto"/>
      </w:pPr>
      <w:r>
        <w:rPr>
          <w:rFonts w:ascii="Arial" w:hAnsi="Arial"/>
          <w:b w:val="0"/>
          <w:i/>
          <w:color w:val="52627A"/>
          <w:sz w:val="20"/>
        </w:rPr>
        <w:t>Define the business context, authority and approval path.</w:t>
      </w:r>
    </w:p>
    <w:p>
      <w:pPr>
        <w:pStyle w:val="Heading2"/>
      </w:pPr>
      <w:r>
        <w:t>Practice profile</w:t>
      </w:r>
    </w:p>
    <w:p>
      <w:pPr>
        <w:spacing w:before="0" w:after="160" w:line="274" w:lineRule="auto"/>
      </w:pPr>
      <w:r>
        <w:rPr>
          <w:rFonts w:ascii="Arial" w:hAnsi="Arial"/>
          <w:b w:val="0"/>
          <w:i w:val="0"/>
          <w:color w:val="12233F"/>
          <w:sz w:val="20"/>
        </w:rPr>
        <w:t>Complete the snapshot before selecting or evaluating safeguards.</w:t>
      </w:r>
    </w:p>
    <w:tbl>
      <w:tblPr>
        <w:tblW w:type="auto" w:w="0"/>
        <w:jc w:val="center"/>
        <w:tblLayout w:type="fixed"/>
        <w:tblLook w:firstColumn="1" w:firstRow="1" w:lastColumn="0" w:lastRow="0" w:noHBand="0" w:noVBand="1" w:val="04A0"/>
      </w:tblPr>
      <w:tblGrid>
        <w:gridCol w:w="3024"/>
        <w:gridCol w:w="7085"/>
      </w:tblGrid>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Practice legal name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legal and trade names]</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Locations and remote-work model</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offices and work arrangements]</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Personnel and seasonality</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employees, contractors and peak-season changes]</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Services and annual return volume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services, return types and approximate volume]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Critical systems</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tax, portal, email, storage, payroll and practice tools]</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Cyber / professional insurance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carrier, policy and notice contact]</w:t>
            </w:r>
          </w:p>
        </w:tc>
      </w:tr>
    </w:tbl>
    <w:p>
      <w:pPr>
        <w:pStyle w:val="Heading2"/>
      </w:pPr>
      <w:r>
        <w:t>Governance assignments</w:t>
      </w:r>
    </w:p>
    <w:p>
      <w:pPr>
        <w:spacing w:before="0" w:after="160" w:line="274" w:lineRule="auto"/>
      </w:pPr>
      <w:r>
        <w:rPr>
          <w:rFonts w:ascii="Arial" w:hAnsi="Arial"/>
          <w:b w:val="0"/>
          <w:i w:val="0"/>
          <w:color w:val="12233F"/>
          <w:sz w:val="20"/>
        </w:rPr>
        <w:t>Authority must be explicit enough to support decisions and escalation.</w:t>
      </w:r>
    </w:p>
    <w:tbl>
      <w:tblPr>
        <w:tblW w:type="auto" w:w="0"/>
        <w:jc w:val="center"/>
        <w:tblLayout w:type="fixed"/>
        <w:tblLook w:firstColumn="1" w:firstRow="1" w:lastColumn="0" w:lastRow="0" w:noHBand="0" w:noVBand="1" w:val="04A0"/>
      </w:tblPr>
      <w:tblGrid>
        <w:gridCol w:w="1656"/>
        <w:gridCol w:w="1800"/>
        <w:gridCol w:w="4824"/>
        <w:gridCol w:w="1800"/>
      </w:tblGrid>
      <w:tr>
        <w:trPr>
          <w:tblHeader w:val="true"/>
        </w:trPr>
        <w:tc>
          <w:tcPr>
            <w:tcW w:type="dxa" w:w="1655"/>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ROLE</w:t>
            </w:r>
          </w:p>
        </w:tc>
        <w:tc>
          <w:tcPr>
            <w:tcW w:type="dxa" w:w="180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NAMED PERSON</w:t>
            </w:r>
          </w:p>
        </w:tc>
        <w:tc>
          <w:tcPr>
            <w:tcW w:type="dxa" w:w="482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CORE RESPONSIBILITY</w:t>
            </w:r>
          </w:p>
        </w:tc>
        <w:tc>
          <w:tcPr>
            <w:tcW w:type="dxa" w:w="180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BACKUP</w:t>
            </w:r>
          </w:p>
        </w:tc>
      </w:tr>
      <w:tr>
        <w:trPr>
          <w:cantSplit/>
        </w:trPr>
        <w:tc>
          <w:tcPr>
            <w:tcW w:type="dxa" w:w="165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Qualified Individual</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 / title]</w:t>
            </w:r>
          </w:p>
        </w:tc>
        <w:tc>
          <w:tcPr>
            <w:tcW w:type="dxa" w:w="48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Direct, enforce and report on the program</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w:t>
            </w:r>
          </w:p>
        </w:tc>
      </w:tr>
      <w:tr>
        <w:trPr>
          <w:cantSplit/>
        </w:trPr>
        <w:tc>
          <w:tcPr>
            <w:tcW w:type="dxa" w:w="165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Practice leader</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 / title]</w:t>
            </w:r>
          </w:p>
        </w:tc>
        <w:tc>
          <w:tcPr>
            <w:tcW w:type="dxa" w:w="48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Approve resources, risk decisions and annual report</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w:t>
            </w:r>
          </w:p>
        </w:tc>
      </w:tr>
      <w:tr>
        <w:trPr>
          <w:cantSplit/>
        </w:trPr>
        <w:tc>
          <w:tcPr>
            <w:tcW w:type="dxa" w:w="165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Incident lead</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 / title]</w:t>
            </w:r>
          </w:p>
        </w:tc>
        <w:tc>
          <w:tcPr>
            <w:tcW w:type="dxa" w:w="48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Coordinate response, counsel, insurer and reporting</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w:t>
            </w:r>
          </w:p>
        </w:tc>
      </w:tr>
      <w:tr>
        <w:trPr>
          <w:cantSplit/>
        </w:trPr>
        <w:tc>
          <w:tcPr>
            <w:tcW w:type="dxa" w:w="165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Technology lead</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 / vendor]</w:t>
            </w:r>
          </w:p>
        </w:tc>
        <w:tc>
          <w:tcPr>
            <w:tcW w:type="dxa" w:w="48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Operate, monitor and evidence technical safeguards</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w:t>
            </w:r>
          </w:p>
        </w:tc>
      </w:tr>
      <w:tr>
        <w:trPr>
          <w:cantSplit/>
        </w:trPr>
        <w:tc>
          <w:tcPr>
            <w:tcW w:type="dxa" w:w="165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Privacy / records lead</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 / title]</w:t>
            </w:r>
          </w:p>
        </w:tc>
        <w:tc>
          <w:tcPr>
            <w:tcW w:type="dxa" w:w="48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Oversee retention, disposal and client communications</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w:t>
            </w:r>
          </w:p>
        </w:tc>
      </w:tr>
    </w:tbl>
    <w:p>
      <w:pPr>
        <w:spacing w:before="60" w:after="180" w:line="274" w:lineRule="auto"/>
      </w:pPr>
      <w:r>
        <w:rPr>
          <w:rFonts w:ascii="Arial" w:hAnsi="Arial"/>
          <w:b/>
          <w:i w:val="0"/>
          <w:color w:val="0B2343"/>
          <w:sz w:val="20"/>
        </w:rPr>
        <w:t xml:space="preserve">Approval record: </w:t>
      </w:r>
      <w:r>
        <w:rPr>
          <w:rFonts w:ascii="Arial" w:hAnsi="Arial"/>
          <w:b w:val="0"/>
          <w:i w:val="0"/>
          <w:color w:val="12233F"/>
          <w:sz w:val="20"/>
        </w:rPr>
        <w:t>Version [enter version] approved by [name / body] on [date]. Next scheduled review: [date]. Controlled copy location: [secure location].</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04</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Customer Information Inventory</w:t>
            </w:r>
          </w:p>
        </w:tc>
      </w:tr>
    </w:tbl>
    <w:p>
      <w:pPr>
        <w:spacing w:before="100" w:after="180" w:line="274" w:lineRule="auto"/>
      </w:pPr>
      <w:r>
        <w:rPr>
          <w:rFonts w:ascii="Arial" w:hAnsi="Arial"/>
          <w:b w:val="0"/>
          <w:i/>
          <w:color w:val="52627A"/>
          <w:sz w:val="20"/>
        </w:rPr>
        <w:t>Map sensitive information from collection through disposal.</w:t>
      </w:r>
    </w:p>
    <w:p>
      <w:pPr>
        <w:pStyle w:val="Heading2"/>
      </w:pPr>
      <w:r>
        <w:t>Information register</w:t>
      </w:r>
    </w:p>
    <w:p>
      <w:pPr>
        <w:spacing w:before="0" w:after="160" w:line="274" w:lineRule="auto"/>
      </w:pPr>
      <w:r>
        <w:rPr>
          <w:rFonts w:ascii="Arial" w:hAnsi="Arial"/>
          <w:b w:val="0"/>
          <w:i w:val="0"/>
          <w:color w:val="12233F"/>
          <w:sz w:val="20"/>
        </w:rPr>
        <w:t>Record where information originates, where it moves and who can reach it.</w:t>
      </w:r>
    </w:p>
    <w:tbl>
      <w:tblPr>
        <w:tblW w:type="auto" w:w="0"/>
        <w:jc w:val="center"/>
        <w:tblLayout w:type="fixed"/>
        <w:tblLook w:firstColumn="1" w:firstRow="1" w:lastColumn="0" w:lastRow="0" w:noHBand="0" w:noVBand="1" w:val="04A0"/>
      </w:tblPr>
      <w:tblGrid>
        <w:gridCol w:w="2232"/>
        <w:gridCol w:w="1512"/>
        <w:gridCol w:w="2232"/>
        <w:gridCol w:w="1512"/>
        <w:gridCol w:w="2592"/>
      </w:tblGrid>
      <w:tr>
        <w:trPr>
          <w:tblHeader w:val="true"/>
        </w:trPr>
        <w:tc>
          <w:tcPr>
            <w:tcW w:type="dxa" w:w="223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INFORMATION / PROCESS</w:t>
            </w:r>
          </w:p>
        </w:tc>
        <w:tc>
          <w:tcPr>
            <w:tcW w:type="dxa" w:w="151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SOURCE</w:t>
            </w:r>
          </w:p>
        </w:tc>
        <w:tc>
          <w:tcPr>
            <w:tcW w:type="dxa" w:w="223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SYSTEM / LOCATION</w:t>
            </w:r>
          </w:p>
        </w:tc>
        <w:tc>
          <w:tcPr>
            <w:tcW w:type="dxa" w:w="151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ACCESS</w:t>
            </w:r>
          </w:p>
        </w:tc>
        <w:tc>
          <w:tcPr>
            <w:tcW w:type="dxa" w:w="259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RETENTION / DISPOSAL</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Taxpayer identity and return data</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[Source]</w:t>
            </w:r>
          </w:p>
        </w:tc>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[Systems]</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[Roles]</w:t>
            </w:r>
          </w:p>
        </w:tc>
        <w:tc>
          <w:tcPr>
            <w:tcW w:type="dxa" w:w="25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[Rule / method]</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Banking and payment details</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[Source]</w:t>
            </w:r>
          </w:p>
        </w:tc>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[Systems]</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[Roles]</w:t>
            </w:r>
          </w:p>
        </w:tc>
        <w:tc>
          <w:tcPr>
            <w:tcW w:type="dxa" w:w="25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[Rule / method]</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Payroll and employee records</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[Source]</w:t>
            </w:r>
          </w:p>
        </w:tc>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[Systems]</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[Roles]</w:t>
            </w:r>
          </w:p>
        </w:tc>
        <w:tc>
          <w:tcPr>
            <w:tcW w:type="dxa" w:w="25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[Rule / method]</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Identity documents and e-signatures</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[Source]</w:t>
            </w:r>
          </w:p>
        </w:tc>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[Systems]</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[Roles]</w:t>
            </w:r>
          </w:p>
        </w:tc>
        <w:tc>
          <w:tcPr>
            <w:tcW w:type="dxa" w:w="25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[Rule / method]</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Client communications and attachments</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[Source]</w:t>
            </w:r>
          </w:p>
        </w:tc>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[Systems]</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[Roles]</w:t>
            </w:r>
          </w:p>
        </w:tc>
        <w:tc>
          <w:tcPr>
            <w:tcW w:type="dxa" w:w="25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[Rule / method]</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Backups, exports and temporary files</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[Source]</w:t>
            </w:r>
          </w:p>
        </w:tc>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[Systems]</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[Roles]</w:t>
            </w:r>
          </w:p>
        </w:tc>
        <w:tc>
          <w:tcPr>
            <w:tcW w:type="dxa" w:w="25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[Rule / method]</w:t>
            </w:r>
          </w:p>
        </w:tc>
      </w:tr>
    </w:tbl>
    <w:p>
      <w:pPr>
        <w:pStyle w:val="Heading2"/>
      </w:pPr>
      <w:r>
        <w:t>Data-flow checkpoints</w:t>
      </w:r>
    </w:p>
    <w:p>
      <w:pPr>
        <w:spacing w:before="0" w:after="160" w:line="274" w:lineRule="auto"/>
      </w:pPr>
      <w:r>
        <w:rPr>
          <w:rFonts w:ascii="Arial" w:hAnsi="Arial"/>
          <w:b w:val="0"/>
          <w:i w:val="0"/>
          <w:color w:val="12233F"/>
          <w:sz w:val="20"/>
        </w:rPr>
        <w:t>For each material workflow, confirm the following.</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Collection uses a secure portal or approved transfer method rather than ordinary email where feasible.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The practice can identify every authorized recipient, integration and downstream copy.</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Downloads, exports, printouts and removable media are restricted and disposed of securely.</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Retention is tied to legal, business and contractual need rather than indefinite convenience.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Backups and archives have access controls, encryption and tested restoration procedures.</w:t>
      </w:r>
    </w:p>
    <w:p>
      <w:pPr>
        <w:spacing w:before="60" w:after="180" w:line="274" w:lineRule="auto"/>
      </w:pPr>
      <w:r>
        <w:rPr>
          <w:rFonts w:ascii="Arial" w:hAnsi="Arial"/>
          <w:b/>
          <w:i w:val="0"/>
          <w:color w:val="258A63"/>
          <w:sz w:val="20"/>
        </w:rPr>
        <w:t xml:space="preserve">Deliverable: </w:t>
      </w:r>
      <w:r>
        <w:rPr>
          <w:rFonts w:ascii="Arial" w:hAnsi="Arial"/>
          <w:b w:val="0"/>
          <w:i w:val="0"/>
          <w:color w:val="12233F"/>
          <w:sz w:val="20"/>
        </w:rPr>
        <w:t>Attach a simple data-flow diagram if a workflow crosses multiple systems or service providers.</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05</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Systems, Integrations and Emerging Tools</w:t>
            </w:r>
          </w:p>
        </w:tc>
      </w:tr>
    </w:tbl>
    <w:p>
      <w:pPr>
        <w:spacing w:before="100" w:after="180" w:line="274" w:lineRule="auto"/>
      </w:pPr>
      <w:r>
        <w:rPr>
          <w:rFonts w:ascii="Arial" w:hAnsi="Arial"/>
          <w:b w:val="0"/>
          <w:i/>
          <w:color w:val="52627A"/>
          <w:sz w:val="20"/>
        </w:rPr>
        <w:t>Include convenience tools that can quietly copy, retain or expose customer information.</w:t>
      </w:r>
    </w:p>
    <w:p>
      <w:pPr>
        <w:pStyle w:val="Heading2"/>
      </w:pPr>
      <w:r>
        <w:t>Technology register</w:t>
      </w:r>
    </w:p>
    <w:p>
      <w:pPr>
        <w:spacing w:before="0" w:after="160" w:line="274" w:lineRule="auto"/>
      </w:pPr>
      <w:r>
        <w:rPr>
          <w:rFonts w:ascii="Arial" w:hAnsi="Arial"/>
          <w:b w:val="0"/>
          <w:i w:val="0"/>
          <w:color w:val="12233F"/>
          <w:sz w:val="20"/>
        </w:rPr>
        <w:t>Inventory sanctioned and unsanctioned tools, including trial and seasonal use.</w:t>
      </w:r>
    </w:p>
    <w:tbl>
      <w:tblPr>
        <w:tblW w:type="auto" w:w="0"/>
        <w:jc w:val="center"/>
        <w:tblLayout w:type="fixed"/>
        <w:tblLook w:firstColumn="1" w:firstRow="1" w:lastColumn="0" w:lastRow="0" w:noHBand="0" w:noVBand="1" w:val="04A0"/>
      </w:tblPr>
      <w:tblGrid>
        <w:gridCol w:w="1944"/>
        <w:gridCol w:w="1944"/>
        <w:gridCol w:w="1944"/>
        <w:gridCol w:w="1080"/>
        <w:gridCol w:w="3168"/>
      </w:tblGrid>
      <w:tr>
        <w:trPr>
          <w:tblHeader w:val="true"/>
        </w:trPr>
        <w:tc>
          <w:tcPr>
            <w:tcW w:type="dxa" w:w="194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TOOL CATEGORY</w:t>
            </w:r>
          </w:p>
        </w:tc>
        <w:tc>
          <w:tcPr>
            <w:tcW w:type="dxa" w:w="194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PRODUCT / OWNER</w:t>
            </w:r>
          </w:p>
        </w:tc>
        <w:tc>
          <w:tcPr>
            <w:tcW w:type="dxa" w:w="194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CUSTOMER DATA USED</w:t>
            </w:r>
          </w:p>
        </w:tc>
        <w:tc>
          <w:tcPr>
            <w:tcW w:type="dxa" w:w="108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APPROVED?</w:t>
            </w:r>
          </w:p>
        </w:tc>
        <w:tc>
          <w:tcPr>
            <w:tcW w:type="dxa" w:w="316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KEY CONTROL / REVIEW</w:t>
            </w:r>
          </w:p>
        </w:tc>
      </w:tr>
      <w:tr>
        <w:trPr>
          <w:cantSplit/>
        </w:trPr>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Tax, bookkeeping and payroll</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[Product / owner]</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[Status]</w:t>
            </w:r>
          </w:p>
        </w:tc>
        <w:tc>
          <w:tcPr>
            <w:tcW w:type="dxa" w:w="316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[Control / date]</w:t>
            </w:r>
          </w:p>
        </w:tc>
      </w:tr>
      <w:tr>
        <w:trPr>
          <w:cantSplit/>
        </w:trPr>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Portal, e-signature and file sharing</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[Product / owner]</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w:t>
            </w:r>
          </w:p>
        </w:tc>
        <w:tc>
          <w:tcPr>
            <w:tcW w:type="dxa" w:w="10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[Status]</w:t>
            </w:r>
          </w:p>
        </w:tc>
        <w:tc>
          <w:tcPr>
            <w:tcW w:type="dxa" w:w="316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[Control / date]</w:t>
            </w:r>
          </w:p>
        </w:tc>
      </w:tr>
      <w:tr>
        <w:trPr>
          <w:cantSplit/>
        </w:trPr>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Email, messaging and video</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[Product / owner]</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[Status]</w:t>
            </w:r>
          </w:p>
        </w:tc>
        <w:tc>
          <w:tcPr>
            <w:tcW w:type="dxa" w:w="316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[Control / date]</w:t>
            </w:r>
          </w:p>
        </w:tc>
      </w:tr>
      <w:tr>
        <w:trPr>
          <w:cantSplit/>
        </w:trPr>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AI assistants and copilots</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[Product / owner]</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w:t>
            </w:r>
          </w:p>
        </w:tc>
        <w:tc>
          <w:tcPr>
            <w:tcW w:type="dxa" w:w="10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[Status]</w:t>
            </w:r>
          </w:p>
        </w:tc>
        <w:tc>
          <w:tcPr>
            <w:tcW w:type="dxa" w:w="316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[Control / date]</w:t>
            </w:r>
          </w:p>
        </w:tc>
      </w:tr>
      <w:tr>
        <w:trPr>
          <w:cantSplit/>
        </w:trPr>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OCR, scanning and transcription</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[Product / owner]</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[Status]</w:t>
            </w:r>
          </w:p>
        </w:tc>
        <w:tc>
          <w:tcPr>
            <w:tcW w:type="dxa" w:w="316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[Control / date]</w:t>
            </w:r>
          </w:p>
        </w:tc>
      </w:tr>
      <w:tr>
        <w:trPr>
          <w:cantSplit/>
        </w:trPr>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Browser extensions and automations</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[Product / owner]</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w:t>
            </w:r>
          </w:p>
        </w:tc>
        <w:tc>
          <w:tcPr>
            <w:tcW w:type="dxa" w:w="10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[Status]</w:t>
            </w:r>
          </w:p>
        </w:tc>
        <w:tc>
          <w:tcPr>
            <w:tcW w:type="dxa" w:w="316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[Control / date]</w:t>
            </w:r>
          </w:p>
        </w:tc>
      </w:tr>
      <w:tr>
        <w:trPr>
          <w:cantSplit/>
        </w:trPr>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Personal devices or cloud storage</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[Product / owner]</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[Status]</w:t>
            </w:r>
          </w:p>
        </w:tc>
        <w:tc>
          <w:tcPr>
            <w:tcW w:type="dxa" w:w="316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[Control / date]</w:t>
            </w:r>
          </w:p>
        </w:tc>
      </w:tr>
    </w:tbl>
    <w:p>
      <w:pPr>
        <w:pStyle w:val="Heading2"/>
      </w:pPr>
      <w:r>
        <w:t>Minimum approval questions</w:t>
      </w:r>
    </w:p>
    <w:p>
      <w:pPr>
        <w:spacing w:before="0" w:after="160" w:line="274" w:lineRule="auto"/>
      </w:pPr>
      <w:r>
        <w:rPr>
          <w:rFonts w:ascii="Arial" w:hAnsi="Arial"/>
          <w:b w:val="0"/>
          <w:i w:val="0"/>
          <w:color w:val="12233F"/>
          <w:sz w:val="20"/>
        </w:rPr>
        <w:t>Answer before customer information enters a new tool.</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Is customer information used to train a model, retained after use or accessible to provider personnel?</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Are encryption, MFA, logging, deletion, incident notice and subcontractor terms adequate?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Can the practice export information and revoke all access when the service ends?</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Has the Qualified Individual approved the use case and prohibited unsafe uses in writing?</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Can the practice monitor actual use rather than relying only on policy language?</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06</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Written Risk Assessment</w:t>
            </w:r>
          </w:p>
        </w:tc>
      </w:tr>
    </w:tbl>
    <w:p>
      <w:pPr>
        <w:spacing w:before="100" w:after="180" w:line="274" w:lineRule="auto"/>
      </w:pPr>
      <w:r>
        <w:rPr>
          <w:rFonts w:ascii="Arial" w:hAnsi="Arial"/>
          <w:b w:val="0"/>
          <w:i/>
          <w:color w:val="52627A"/>
          <w:sz w:val="20"/>
        </w:rPr>
        <w:t>Use a consistent method and connect every high risk to action.</w:t>
      </w:r>
    </w:p>
    <w:p>
      <w:pPr>
        <w:pStyle w:val="Heading2"/>
      </w:pPr>
      <w:r>
        <w:t>Rating method</w:t>
      </w:r>
    </w:p>
    <w:p>
      <w:pPr>
        <w:spacing w:before="0" w:after="160" w:line="274" w:lineRule="auto"/>
      </w:pPr>
      <w:r>
        <w:rPr>
          <w:rFonts w:ascii="Arial" w:hAnsi="Arial"/>
          <w:b w:val="0"/>
          <w:i w:val="0"/>
          <w:color w:val="12233F"/>
          <w:sz w:val="20"/>
        </w:rPr>
        <w:t>Score Likelihood from 1 (rare) to 5 (almost certain) and Impact from 1 (limited) to 5 (severe). Risk score = Likelihood × Impact.</w:t>
      </w:r>
    </w:p>
    <w:tbl>
      <w:tblPr>
        <w:tblW w:type="auto" w:w="0"/>
        <w:jc w:val="center"/>
        <w:tblLayout w:type="fixed"/>
        <w:tblLook w:firstColumn="1" w:firstRow="1" w:lastColumn="0" w:lastRow="0" w:noHBand="0" w:noVBand="1" w:val="04A0"/>
      </w:tblPr>
      <w:tblGrid>
        <w:gridCol w:w="1152"/>
        <w:gridCol w:w="1728"/>
        <w:gridCol w:w="7200"/>
      </w:tblGrid>
      <w:tr>
        <w:trPr>
          <w:tblHeader w:val="true"/>
        </w:trPr>
        <w:tc>
          <w:tcPr>
            <w:tcW w:type="dxa" w:w="115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8"/>
              </w:rPr>
              <w:t>SCORE</w:t>
            </w:r>
          </w:p>
        </w:tc>
        <w:tc>
          <w:tcPr>
            <w:tcW w:type="dxa" w:w="172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RATING</w:t>
            </w:r>
          </w:p>
        </w:tc>
        <w:tc>
          <w:tcPr>
            <w:tcW w:type="dxa" w:w="720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EXPECTED RESPONSE</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1–5</w:t>
            </w:r>
          </w:p>
        </w:tc>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Low</w:t>
            </w:r>
          </w:p>
        </w:tc>
        <w:tc>
          <w:tcPr>
            <w:tcW w:type="dxa" w:w="72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Maintain controls; review on schedule.</w:t>
            </w:r>
          </w:p>
        </w:tc>
      </w:tr>
      <w:tr>
        <w:trPr>
          <w:cantSplit/>
        </w:trPr>
        <w:tc>
          <w:tcPr>
            <w:tcW w:type="dxa" w:w="115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6–14</w:t>
            </w:r>
          </w:p>
        </w:tc>
        <w:tc>
          <w:tcPr>
            <w:tcW w:type="dxa" w:w="172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Moderate</w:t>
            </w:r>
          </w:p>
        </w:tc>
        <w:tc>
          <w:tcPr>
            <w:tcW w:type="dxa" w:w="72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Plan improvement; assign owner and date.</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8"/>
              </w:rPr>
              <w:t>15–25</w:t>
            </w:r>
          </w:p>
        </w:tc>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High</w:t>
            </w:r>
          </w:p>
        </w:tc>
        <w:tc>
          <w:tcPr>
            <w:tcW w:type="dxa" w:w="72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Escalate promptly; reduce, avoid, transfer or formally accept.</w:t>
            </w:r>
          </w:p>
        </w:tc>
      </w:tr>
    </w:tbl>
    <w:p>
      <w:pPr>
        <w:pStyle w:val="Heading2"/>
      </w:pPr>
      <w:r>
        <w:t>Risk register</w:t>
      </w:r>
    </w:p>
    <w:p>
      <w:pPr>
        <w:spacing w:before="0" w:after="160" w:line="274" w:lineRule="auto"/>
      </w:pPr>
      <w:r>
        <w:rPr>
          <w:rFonts w:ascii="Arial" w:hAnsi="Arial"/>
          <w:b w:val="0"/>
          <w:i w:val="0"/>
          <w:color w:val="12233F"/>
          <w:sz w:val="20"/>
        </w:rPr>
        <w:t>Describe the real scenario and evaluate remaining risk after current safeguards.</w:t>
      </w:r>
    </w:p>
    <w:tbl>
      <w:tblPr>
        <w:tblW w:type="auto" w:w="0"/>
        <w:jc w:val="center"/>
        <w:tblLayout w:type="fixed"/>
        <w:tblLook w:firstColumn="1" w:firstRow="1" w:lastColumn="0" w:lastRow="0" w:noHBand="0" w:noVBand="1" w:val="04A0"/>
      </w:tblPr>
      <w:tblGrid>
        <w:gridCol w:w="2131"/>
        <w:gridCol w:w="504"/>
        <w:gridCol w:w="504"/>
        <w:gridCol w:w="691"/>
        <w:gridCol w:w="2376"/>
        <w:gridCol w:w="3874"/>
      </w:tblGrid>
      <w:tr>
        <w:trPr>
          <w:tblHeader w:val="true"/>
        </w:trPr>
        <w:tc>
          <w:tcPr>
            <w:tcW w:type="dxa" w:w="2131"/>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RISK SCENARIO / ASSET</w:t>
            </w:r>
          </w:p>
        </w:tc>
        <w:tc>
          <w:tcPr>
            <w:tcW w:type="dxa" w:w="503"/>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L</w:t>
            </w:r>
          </w:p>
        </w:tc>
        <w:tc>
          <w:tcPr>
            <w:tcW w:type="dxa" w:w="503"/>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I</w:t>
            </w:r>
          </w:p>
        </w:tc>
        <w:tc>
          <w:tcPr>
            <w:tcW w:type="dxa" w:w="691"/>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SCORE</w:t>
            </w:r>
          </w:p>
        </w:tc>
        <w:tc>
          <w:tcPr>
            <w:tcW w:type="dxa" w:w="2376"/>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CURRENT SAFEGUARDS</w:t>
            </w:r>
          </w:p>
        </w:tc>
        <w:tc>
          <w:tcPr>
            <w:tcW w:type="dxa" w:w="3873"/>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ACTION / OWNER / DUE</w:t>
            </w:r>
          </w:p>
        </w:tc>
      </w:tr>
      <w:tr>
        <w:trPr>
          <w:cantSplit/>
        </w:trPr>
        <w:tc>
          <w:tcPr>
            <w:tcW w:type="dxa" w:w="2131"/>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Phishing or mailbox takeover</w:t>
            </w:r>
          </w:p>
        </w:tc>
        <w:tc>
          <w:tcPr>
            <w:tcW w:type="dxa" w:w="50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50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691"/>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[L×I]</w:t>
            </w:r>
          </w:p>
        </w:tc>
        <w:tc>
          <w:tcPr>
            <w:tcW w:type="dxa" w:w="237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[Safeguards]</w:t>
            </w:r>
          </w:p>
        </w:tc>
        <w:tc>
          <w:tcPr>
            <w:tcW w:type="dxa" w:w="387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 owner / date]</w:t>
            </w:r>
          </w:p>
        </w:tc>
      </w:tr>
      <w:tr>
        <w:trPr>
          <w:cantSplit/>
        </w:trPr>
        <w:tc>
          <w:tcPr>
            <w:tcW w:type="dxa" w:w="2131"/>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Stolen or compromised credentials</w:t>
            </w:r>
          </w:p>
        </w:tc>
        <w:tc>
          <w:tcPr>
            <w:tcW w:type="dxa" w:w="50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50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691"/>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[L×I]</w:t>
            </w:r>
          </w:p>
        </w:tc>
        <w:tc>
          <w:tcPr>
            <w:tcW w:type="dxa" w:w="237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[Safeguards]</w:t>
            </w:r>
          </w:p>
        </w:tc>
        <w:tc>
          <w:tcPr>
            <w:tcW w:type="dxa" w:w="387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 owner / date]</w:t>
            </w:r>
          </w:p>
        </w:tc>
      </w:tr>
      <w:tr>
        <w:trPr>
          <w:cantSplit/>
        </w:trPr>
        <w:tc>
          <w:tcPr>
            <w:tcW w:type="dxa" w:w="2131"/>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Ransomware or destructive malware</w:t>
            </w:r>
          </w:p>
        </w:tc>
        <w:tc>
          <w:tcPr>
            <w:tcW w:type="dxa" w:w="50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50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691"/>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[L×I]</w:t>
            </w:r>
          </w:p>
        </w:tc>
        <w:tc>
          <w:tcPr>
            <w:tcW w:type="dxa" w:w="237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[Safeguards]</w:t>
            </w:r>
          </w:p>
        </w:tc>
        <w:tc>
          <w:tcPr>
            <w:tcW w:type="dxa" w:w="387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 owner / date]</w:t>
            </w:r>
          </w:p>
        </w:tc>
      </w:tr>
      <w:tr>
        <w:trPr>
          <w:cantSplit/>
        </w:trPr>
        <w:tc>
          <w:tcPr>
            <w:tcW w:type="dxa" w:w="2131"/>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Lost device or insecure remote work</w:t>
            </w:r>
          </w:p>
        </w:tc>
        <w:tc>
          <w:tcPr>
            <w:tcW w:type="dxa" w:w="50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50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691"/>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[L×I]</w:t>
            </w:r>
          </w:p>
        </w:tc>
        <w:tc>
          <w:tcPr>
            <w:tcW w:type="dxa" w:w="237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[Safeguards]</w:t>
            </w:r>
          </w:p>
        </w:tc>
        <w:tc>
          <w:tcPr>
            <w:tcW w:type="dxa" w:w="387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 owner / date]</w:t>
            </w:r>
          </w:p>
        </w:tc>
      </w:tr>
      <w:tr>
        <w:trPr>
          <w:cantSplit/>
        </w:trPr>
        <w:tc>
          <w:tcPr>
            <w:tcW w:type="dxa" w:w="2131"/>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Vendor or integration compromise</w:t>
            </w:r>
          </w:p>
        </w:tc>
        <w:tc>
          <w:tcPr>
            <w:tcW w:type="dxa" w:w="50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50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691"/>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[L×I]</w:t>
            </w:r>
          </w:p>
        </w:tc>
        <w:tc>
          <w:tcPr>
            <w:tcW w:type="dxa" w:w="237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[Safeguards]</w:t>
            </w:r>
          </w:p>
        </w:tc>
        <w:tc>
          <w:tcPr>
            <w:tcW w:type="dxa" w:w="3873"/>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 owner / date]</w:t>
            </w:r>
          </w:p>
        </w:tc>
      </w:tr>
      <w:tr>
        <w:trPr>
          <w:cantSplit/>
        </w:trPr>
        <w:tc>
          <w:tcPr>
            <w:tcW w:type="dxa" w:w="2131"/>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Improper access, export or disposal</w:t>
            </w:r>
          </w:p>
        </w:tc>
        <w:tc>
          <w:tcPr>
            <w:tcW w:type="dxa" w:w="50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50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[1–5]</w:t>
            </w:r>
          </w:p>
        </w:tc>
        <w:tc>
          <w:tcPr>
            <w:tcW w:type="dxa" w:w="691"/>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[L×I]</w:t>
            </w:r>
          </w:p>
        </w:tc>
        <w:tc>
          <w:tcPr>
            <w:tcW w:type="dxa" w:w="237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[Safeguards]</w:t>
            </w:r>
          </w:p>
        </w:tc>
        <w:tc>
          <w:tcPr>
            <w:tcW w:type="dxa" w:w="3873"/>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 owner / date]</w:t>
            </w:r>
          </w:p>
        </w:tc>
      </w:tr>
    </w:tbl>
    <w:p>
      <w:pPr>
        <w:spacing w:before="60" w:after="180" w:line="274" w:lineRule="auto"/>
      </w:pPr>
      <w:r>
        <w:rPr>
          <w:rFonts w:ascii="Arial" w:hAnsi="Arial"/>
          <w:b/>
          <w:i w:val="0"/>
          <w:color w:val="0B2343"/>
          <w:sz w:val="20"/>
        </w:rPr>
        <w:t xml:space="preserve">Decision record: </w:t>
      </w:r>
      <w:r>
        <w:rPr>
          <w:rFonts w:ascii="Arial" w:hAnsi="Arial"/>
          <w:b w:val="0"/>
          <w:i w:val="0"/>
          <w:color w:val="12233F"/>
          <w:sz w:val="20"/>
        </w:rPr>
        <w:t>Any accepted moderate or high residual risk requires [approver], [rationale], [review date] and [monitoring evidence].</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07</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Core Safeguards and Evidence</w:t>
            </w:r>
          </w:p>
        </w:tc>
      </w:tr>
    </w:tbl>
    <w:p>
      <w:pPr>
        <w:spacing w:before="100" w:after="180" w:line="274" w:lineRule="auto"/>
      </w:pPr>
      <w:r>
        <w:rPr>
          <w:rFonts w:ascii="Arial" w:hAnsi="Arial"/>
          <w:b w:val="0"/>
          <w:i/>
          <w:color w:val="52627A"/>
          <w:sz w:val="20"/>
        </w:rPr>
        <w:t>Describe what is implemented, not what the practice merely intends to do.</w:t>
      </w:r>
    </w:p>
    <w:tbl>
      <w:tblPr>
        <w:tblW w:type="auto" w:w="0"/>
        <w:jc w:val="center"/>
        <w:tblLayout w:type="fixed"/>
        <w:tblLook w:firstColumn="1" w:firstRow="1" w:lastColumn="0" w:lastRow="0" w:noHBand="0" w:noVBand="1" w:val="04A0"/>
      </w:tblPr>
      <w:tblGrid>
        <w:gridCol w:w="1440"/>
        <w:gridCol w:w="4320"/>
        <w:gridCol w:w="1037"/>
        <w:gridCol w:w="1224"/>
        <w:gridCol w:w="2059"/>
      </w:tblGrid>
      <w:tr>
        <w:trPr>
          <w:tblHeader w:val="true"/>
        </w:trPr>
        <w:tc>
          <w:tcPr>
            <w:tcW w:type="dxa" w:w="144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SAFEGUARD</w:t>
            </w:r>
          </w:p>
        </w:tc>
        <w:tc>
          <w:tcPr>
            <w:tcW w:type="dxa" w:w="432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PRACTICE STANDARD</w:t>
            </w:r>
          </w:p>
        </w:tc>
        <w:tc>
          <w:tcPr>
            <w:tcW w:type="dxa" w:w="1036"/>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OWNER</w:t>
            </w:r>
          </w:p>
        </w:tc>
        <w:tc>
          <w:tcPr>
            <w:tcW w:type="dxa" w:w="122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FREQUENCY</w:t>
            </w:r>
          </w:p>
        </w:tc>
        <w:tc>
          <w:tcPr>
            <w:tcW w:type="dxa" w:w="2059"/>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EVIDENCE / STATUS</w:t>
            </w:r>
          </w:p>
        </w:tc>
      </w:tr>
      <w:tr>
        <w:trPr>
          <w:cantSplit/>
        </w:trPr>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MFA</w:t>
            </w:r>
          </w:p>
        </w:tc>
        <w:tc>
          <w:tcPr>
            <w:tcW w:type="dxa" w:w="432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Required for email, tax, portal, storage, remote access and administration</w:t>
            </w:r>
          </w:p>
        </w:tc>
        <w:tc>
          <w:tcPr>
            <w:tcW w:type="dxa" w:w="103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7"/>
              </w:rPr>
              <w:t>Continuous</w:t>
            </w:r>
          </w:p>
        </w:tc>
        <w:tc>
          <w:tcPr>
            <w:tcW w:type="dxa" w:w="2059"/>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r>
        <w:trPr>
          <w:cantSplit/>
        </w:trPr>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Encryption</w:t>
            </w:r>
          </w:p>
        </w:tc>
        <w:tc>
          <w:tcPr>
            <w:tcW w:type="dxa" w:w="432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Protect customer information in transit and at rest or document an approved alternative</w:t>
            </w:r>
          </w:p>
        </w:tc>
        <w:tc>
          <w:tcPr>
            <w:tcW w:type="dxa" w:w="103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7"/>
              </w:rPr>
              <w:t>Annual / change</w:t>
            </w:r>
          </w:p>
        </w:tc>
        <w:tc>
          <w:tcPr>
            <w:tcW w:type="dxa" w:w="2059"/>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r>
        <w:trPr>
          <w:cantSplit/>
        </w:trPr>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Secure configuration</w:t>
            </w:r>
          </w:p>
        </w:tc>
        <w:tc>
          <w:tcPr>
            <w:tcW w:type="dxa" w:w="432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Approved settings, supported software, patching and prohibited services</w:t>
            </w:r>
          </w:p>
        </w:tc>
        <w:tc>
          <w:tcPr>
            <w:tcW w:type="dxa" w:w="103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7"/>
              </w:rPr>
              <w:t>Monthly</w:t>
            </w:r>
          </w:p>
        </w:tc>
        <w:tc>
          <w:tcPr>
            <w:tcW w:type="dxa" w:w="2059"/>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r>
        <w:trPr>
          <w:cantSplit/>
        </w:trPr>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Endpoint protection</w:t>
            </w:r>
          </w:p>
        </w:tc>
        <w:tc>
          <w:tcPr>
            <w:tcW w:type="dxa" w:w="432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Managed anti-malware, firewall, device encryption and screen lock</w:t>
            </w:r>
          </w:p>
        </w:tc>
        <w:tc>
          <w:tcPr>
            <w:tcW w:type="dxa" w:w="103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7"/>
              </w:rPr>
              <w:t>Continuous</w:t>
            </w:r>
          </w:p>
        </w:tc>
        <w:tc>
          <w:tcPr>
            <w:tcW w:type="dxa" w:w="2059"/>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r>
        <w:trPr>
          <w:cantSplit/>
        </w:trPr>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Backups</w:t>
            </w:r>
          </w:p>
        </w:tc>
        <w:tc>
          <w:tcPr>
            <w:tcW w:type="dxa" w:w="432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Protected, separated backups with documented restoration tests</w:t>
            </w:r>
          </w:p>
        </w:tc>
        <w:tc>
          <w:tcPr>
            <w:tcW w:type="dxa" w:w="103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[Frequency]</w:t>
            </w:r>
          </w:p>
        </w:tc>
        <w:tc>
          <w:tcPr>
            <w:tcW w:type="dxa" w:w="2059"/>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r>
        <w:trPr>
          <w:cantSplit/>
        </w:trPr>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Logging and alerting</w:t>
            </w:r>
          </w:p>
        </w:tc>
        <w:tc>
          <w:tcPr>
            <w:tcW w:type="dxa" w:w="432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Monitor critical systems, privileged activity and security events</w:t>
            </w:r>
          </w:p>
        </w:tc>
        <w:tc>
          <w:tcPr>
            <w:tcW w:type="dxa" w:w="103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[Frequency]</w:t>
            </w:r>
          </w:p>
        </w:tc>
        <w:tc>
          <w:tcPr>
            <w:tcW w:type="dxa" w:w="2059"/>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r>
        <w:trPr>
          <w:cantSplit/>
        </w:trPr>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Change management</w:t>
            </w:r>
          </w:p>
        </w:tc>
        <w:tc>
          <w:tcPr>
            <w:tcW w:type="dxa" w:w="432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Review material changes before deployment and verify controls afterward</w:t>
            </w:r>
          </w:p>
        </w:tc>
        <w:tc>
          <w:tcPr>
            <w:tcW w:type="dxa" w:w="103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7"/>
              </w:rPr>
              <w:t>Per change</w:t>
            </w:r>
          </w:p>
        </w:tc>
        <w:tc>
          <w:tcPr>
            <w:tcW w:type="dxa" w:w="2059"/>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r>
        <w:trPr>
          <w:cantSplit/>
        </w:trPr>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Secure disposal</w:t>
            </w:r>
          </w:p>
        </w:tc>
        <w:tc>
          <w:tcPr>
            <w:tcW w:type="dxa" w:w="432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Destroy data and media so information cannot practicably be read or reconstructed</w:t>
            </w:r>
          </w:p>
        </w:tc>
        <w:tc>
          <w:tcPr>
            <w:tcW w:type="dxa" w:w="103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12233F"/>
                <w:sz w:val="17"/>
              </w:rPr>
              <w:t>Per schedule</w:t>
            </w:r>
          </w:p>
        </w:tc>
        <w:tc>
          <w:tcPr>
            <w:tcW w:type="dxa" w:w="2059"/>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 / gap]</w:t>
            </w:r>
          </w:p>
        </w:tc>
      </w:tr>
    </w:tbl>
    <w:p>
      <w:pPr>
        <w:pStyle w:val="Heading2"/>
      </w:pPr>
      <w:r>
        <w:t>Open safeguard decisions</w:t>
      </w:r>
    </w:p>
    <w:p>
      <w:pPr>
        <w:spacing w:before="0" w:after="160" w:line="274" w:lineRule="auto"/>
      </w:pPr>
      <w:r>
        <w:rPr>
          <w:rFonts w:ascii="Arial" w:hAnsi="Arial"/>
          <w:b w:val="0"/>
          <w:i w:val="0"/>
          <w:color w:val="12233F"/>
          <w:sz w:val="20"/>
        </w:rPr>
        <w:t>Record the next three priority improvements.</w:t>
      </w:r>
    </w:p>
    <w:tbl>
      <w:tblPr>
        <w:tblW w:type="auto" w:w="0"/>
        <w:jc w:val="center"/>
        <w:tblLayout w:type="fixed"/>
        <w:tblLook w:firstColumn="1" w:firstRow="1" w:lastColumn="0" w:lastRow="0" w:noHBand="0" w:noVBand="1" w:val="04A0"/>
      </w:tblPr>
      <w:tblGrid>
        <w:gridCol w:w="2880"/>
        <w:gridCol w:w="2448"/>
        <w:gridCol w:w="1296"/>
        <w:gridCol w:w="1152"/>
        <w:gridCol w:w="2304"/>
      </w:tblGrid>
      <w:tr>
        <w:trPr>
          <w:tblHeader w:val="true"/>
        </w:trPr>
        <w:tc>
          <w:tcPr>
            <w:tcW w:type="dxa" w:w="288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PRIORITY ACTION</w:t>
            </w:r>
          </w:p>
        </w:tc>
        <w:tc>
          <w:tcPr>
            <w:tcW w:type="dxa" w:w="244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RISK ADDRESSED</w:t>
            </w:r>
          </w:p>
        </w:tc>
        <w:tc>
          <w:tcPr>
            <w:tcW w:type="dxa" w:w="1296"/>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OWNER</w:t>
            </w:r>
          </w:p>
        </w:tc>
        <w:tc>
          <w:tcPr>
            <w:tcW w:type="dxa" w:w="115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DUE</w:t>
            </w:r>
          </w:p>
        </w:tc>
        <w:tc>
          <w:tcPr>
            <w:tcW w:type="dxa" w:w="230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SUCCESS EVIDENCE</w:t>
            </w:r>
          </w:p>
        </w:tc>
      </w:tr>
      <w:tr>
        <w:trPr>
          <w:cantSplit/>
        </w:trPr>
        <w:tc>
          <w:tcPr>
            <w:tcW w:type="dxa" w:w="28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1]</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[Risk]</w:t>
            </w:r>
          </w:p>
        </w:tc>
        <w:tc>
          <w:tcPr>
            <w:tcW w:type="dxa" w:w="12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230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28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2]</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[Risk]</w:t>
            </w:r>
          </w:p>
        </w:tc>
        <w:tc>
          <w:tcPr>
            <w:tcW w:type="dxa" w:w="129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15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230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28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 3]</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[Risk]</w:t>
            </w:r>
          </w:p>
        </w:tc>
        <w:tc>
          <w:tcPr>
            <w:tcW w:type="dxa" w:w="12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230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bl>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08</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Access, Authentication, Devices and Remote Work</w:t>
            </w:r>
          </w:p>
        </w:tc>
      </w:tr>
    </w:tbl>
    <w:p>
      <w:pPr>
        <w:spacing w:before="100" w:after="180" w:line="274" w:lineRule="auto"/>
      </w:pPr>
      <w:r>
        <w:rPr>
          <w:rFonts w:ascii="Arial" w:hAnsi="Arial"/>
          <w:b w:val="0"/>
          <w:i/>
          <w:color w:val="52627A"/>
          <w:sz w:val="20"/>
        </w:rPr>
        <w:t>Reduce standing access and make every device and account accountable.</w:t>
      </w:r>
    </w:p>
    <w:p>
      <w:pPr>
        <w:pStyle w:val="Heading2"/>
      </w:pPr>
      <w:r>
        <w:t>Access standard</w:t>
      </w:r>
    </w:p>
    <w:p>
      <w:pPr>
        <w:spacing w:before="0" w:after="160" w:line="274" w:lineRule="auto"/>
      </w:pPr>
      <w:r>
        <w:rPr>
          <w:rFonts w:ascii="Arial" w:hAnsi="Arial"/>
          <w:b w:val="0"/>
          <w:i w:val="0"/>
          <w:color w:val="12233F"/>
          <w:sz w:val="20"/>
        </w:rPr>
        <w:t>Document rules that can be tested through account lists, settings and logs.</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Each person uses a unique account; shared credentials are prohibited or formally controlled.</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Access is role-based, approved before use and reviewed at least every [frequency].</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Privileged accounts are separate from ordinary work and protected by phishing-resistant MFA where feasible.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Departing and seasonal personnel lose access promptly through a documented offboarding checklist.</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Password managers, recovery methods and emergency access are approved and securely maintained.</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Remote access uses approved devices, secure connections and restricted local storage and printing.</w:t>
      </w:r>
    </w:p>
    <w:p>
      <w:pPr>
        <w:pStyle w:val="Heading2"/>
      </w:pPr>
      <w:r>
        <w:t>Account and device review</w:t>
      </w:r>
    </w:p>
    <w:p>
      <w:pPr>
        <w:spacing w:before="0" w:after="160" w:line="274" w:lineRule="auto"/>
      </w:pPr>
      <w:r>
        <w:rPr>
          <w:rFonts w:ascii="Arial" w:hAnsi="Arial"/>
          <w:b w:val="0"/>
          <w:i w:val="0"/>
          <w:color w:val="12233F"/>
          <w:sz w:val="20"/>
        </w:rPr>
        <w:t>Use this register for high-risk systems and endpoints.</w:t>
      </w:r>
    </w:p>
    <w:tbl>
      <w:tblPr>
        <w:tblW w:type="auto" w:w="0"/>
        <w:jc w:val="center"/>
        <w:tblLayout w:type="fixed"/>
        <w:tblLook w:firstColumn="1" w:firstRow="1" w:lastColumn="0" w:lastRow="0" w:noHBand="0" w:noVBand="1" w:val="04A0"/>
      </w:tblPr>
      <w:tblGrid>
        <w:gridCol w:w="2880"/>
        <w:gridCol w:w="1440"/>
        <w:gridCol w:w="1944"/>
        <w:gridCol w:w="1944"/>
        <w:gridCol w:w="1872"/>
      </w:tblGrid>
      <w:tr>
        <w:trPr>
          <w:tblHeader w:val="true"/>
        </w:trPr>
        <w:tc>
          <w:tcPr>
            <w:tcW w:type="dxa" w:w="288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SYSTEM / DEVICE GROUP</w:t>
            </w:r>
          </w:p>
        </w:tc>
        <w:tc>
          <w:tcPr>
            <w:tcW w:type="dxa" w:w="144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OWNER</w:t>
            </w:r>
          </w:p>
        </w:tc>
        <w:tc>
          <w:tcPr>
            <w:tcW w:type="dxa" w:w="194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MFA / ENCRYPTION</w:t>
            </w:r>
          </w:p>
        </w:tc>
        <w:tc>
          <w:tcPr>
            <w:tcW w:type="dxa" w:w="194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LAST ACCESS REVIEW</w:t>
            </w:r>
          </w:p>
        </w:tc>
        <w:tc>
          <w:tcPr>
            <w:tcW w:type="dxa" w:w="187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NEXT ACTION</w:t>
            </w:r>
          </w:p>
        </w:tc>
      </w:tr>
      <w:tr>
        <w:trPr>
          <w:cantSplit/>
        </w:trPr>
        <w:tc>
          <w:tcPr>
            <w:tcW w:type="dxa" w:w="28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Email and identity platform</w:t>
            </w:r>
          </w:p>
        </w:tc>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[Status]</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w:t>
            </w:r>
          </w:p>
        </w:tc>
        <w:tc>
          <w:tcPr>
            <w:tcW w:type="dxa" w:w="187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w:t>
            </w:r>
          </w:p>
        </w:tc>
      </w:tr>
      <w:tr>
        <w:trPr>
          <w:cantSplit/>
        </w:trPr>
        <w:tc>
          <w:tcPr>
            <w:tcW w:type="dxa" w:w="28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Tax and accounting applications</w:t>
            </w:r>
          </w:p>
        </w:tc>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[Status]</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w:t>
            </w:r>
          </w:p>
        </w:tc>
        <w:tc>
          <w:tcPr>
            <w:tcW w:type="dxa" w:w="187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w:t>
            </w:r>
          </w:p>
        </w:tc>
      </w:tr>
      <w:tr>
        <w:trPr>
          <w:cantSplit/>
        </w:trPr>
        <w:tc>
          <w:tcPr>
            <w:tcW w:type="dxa" w:w="28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Client portal and e-signature</w:t>
            </w:r>
          </w:p>
        </w:tc>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[Status]</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w:t>
            </w:r>
          </w:p>
        </w:tc>
        <w:tc>
          <w:tcPr>
            <w:tcW w:type="dxa" w:w="187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w:t>
            </w:r>
          </w:p>
        </w:tc>
      </w:tr>
      <w:tr>
        <w:trPr>
          <w:cantSplit/>
        </w:trPr>
        <w:tc>
          <w:tcPr>
            <w:tcW w:type="dxa" w:w="28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Workstations and mobile devices</w:t>
            </w:r>
          </w:p>
        </w:tc>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[Status]</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w:t>
            </w:r>
          </w:p>
        </w:tc>
        <w:tc>
          <w:tcPr>
            <w:tcW w:type="dxa" w:w="187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w:t>
            </w:r>
          </w:p>
        </w:tc>
      </w:tr>
      <w:tr>
        <w:trPr>
          <w:cantSplit/>
        </w:trPr>
        <w:tc>
          <w:tcPr>
            <w:tcW w:type="dxa" w:w="28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Remote support and administrator tools</w:t>
            </w:r>
          </w:p>
        </w:tc>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[Status]</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w:t>
            </w:r>
          </w:p>
        </w:tc>
        <w:tc>
          <w:tcPr>
            <w:tcW w:type="dxa" w:w="187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[Action]</w:t>
            </w:r>
          </w:p>
        </w:tc>
      </w:tr>
    </w:tbl>
    <w:p>
      <w:pPr>
        <w:spacing w:before="60" w:after="180" w:line="274" w:lineRule="auto"/>
      </w:pPr>
      <w:r>
        <w:rPr>
          <w:rFonts w:ascii="Arial" w:hAnsi="Arial"/>
          <w:b/>
          <w:i w:val="0"/>
          <w:color w:val="0B2343"/>
          <w:sz w:val="20"/>
        </w:rPr>
        <w:t xml:space="preserve">Exception process: </w:t>
      </w:r>
      <w:r>
        <w:rPr>
          <w:rFonts w:ascii="Arial" w:hAnsi="Arial"/>
          <w:b w:val="0"/>
          <w:i w:val="0"/>
          <w:color w:val="12233F"/>
          <w:sz w:val="20"/>
        </w:rPr>
        <w:t>Exception approved by [name] on [date], business reason [reason], compensating control [control], expiration [date].</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09</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Personnel Accountability and Acknowledgment</w:t>
            </w:r>
          </w:p>
        </w:tc>
      </w:tr>
    </w:tbl>
    <w:p>
      <w:pPr>
        <w:spacing w:before="100" w:after="180" w:line="274" w:lineRule="auto"/>
      </w:pPr>
      <w:r>
        <w:rPr>
          <w:rFonts w:ascii="Arial" w:hAnsi="Arial"/>
          <w:b w:val="0"/>
          <w:i/>
          <w:color w:val="52627A"/>
          <w:sz w:val="20"/>
        </w:rPr>
        <w:t>Set expectations before access begins and document acceptance.</w:t>
      </w:r>
    </w:p>
    <w:p>
      <w:pPr>
        <w:pStyle w:val="Heading2"/>
      </w:pPr>
      <w:r>
        <w:t>Personnel controls</w:t>
      </w:r>
    </w:p>
    <w:p>
      <w:pPr>
        <w:spacing w:before="0" w:after="160" w:line="274" w:lineRule="auto"/>
      </w:pPr>
      <w:r>
        <w:rPr>
          <w:rFonts w:ascii="Arial" w:hAnsi="Arial"/>
          <w:b w:val="0"/>
          <w:i w:val="0"/>
          <w:color w:val="12233F"/>
          <w:sz w:val="20"/>
        </w:rPr>
        <w:t>Apply controls proportionate to role, access and applicable law.</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Screen candidates and contractors where lawful and appropriate to the role.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Use confidentiality, acceptable-use, remote-work and incident-reporting obligations.</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Grant access only after required training and signed acknowledgment.</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Supervise seasonal and temporary personnel and remove access at the end of the engagement.</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Apply a documented disciplinary process for deliberate or repeated violations.</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Recover devices, records, credentials and keys during role change or separation.</w:t>
      </w:r>
    </w:p>
    <w:p>
      <w:pPr>
        <w:pStyle w:val="Heading2"/>
      </w:pPr>
      <w:r>
        <w:t>Employee / contractor acknowledgment</w:t>
      </w:r>
    </w:p>
    <w:p>
      <w:pPr>
        <w:spacing w:before="0" w:after="160" w:line="274" w:lineRule="auto"/>
      </w:pPr>
      <w:r>
        <w:rPr>
          <w:rFonts w:ascii="Arial" w:hAnsi="Arial"/>
          <w:b w:val="0"/>
          <w:i w:val="0"/>
          <w:color w:val="12233F"/>
          <w:sz w:val="20"/>
        </w:rPr>
        <w:t>Retain one signed copy for each person with access to customer information.</w:t>
      </w:r>
    </w:p>
    <w:p>
      <w:pPr>
        <w:spacing w:before="0" w:after="160" w:line="276" w:lineRule="auto"/>
      </w:pPr>
      <w:r>
        <w:rPr>
          <w:rFonts w:ascii="Arial" w:hAnsi="Arial"/>
          <w:b w:val="0"/>
          <w:i w:val="0"/>
          <w:color w:val="12233F"/>
          <w:sz w:val="19"/>
        </w:rPr>
        <w:t>I acknowledge that I received and understand the practice’s information-security policies and training. I will use customer information only for authorized work, follow approved safeguards, protect credentials and devices, and report suspected loss, misuse, phishing, malware, unauthorized access or disclosure immediately through the stated reporting channel. I understand that violations may result in loss of access or disciplinary action, subject to applicable law and policy.</w:t>
      </w:r>
    </w:p>
    <w:tbl>
      <w:tblPr>
        <w:tblW w:type="auto" w:w="0"/>
        <w:jc w:val="center"/>
        <w:tblLayout w:type="fixed"/>
        <w:tblLook w:firstColumn="1" w:firstRow="1" w:lastColumn="0" w:lastRow="0" w:noHBand="0" w:noVBand="1" w:val="04A0"/>
      </w:tblPr>
      <w:tblGrid>
        <w:gridCol w:w="3024"/>
        <w:gridCol w:w="7085"/>
      </w:tblGrid>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Name and role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name and role]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Signature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[Sign or apply approved electronic signature]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Date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date]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Manager / witness</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name and signature if required]</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Training completed</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[Course, date and record location]</w:t>
            </w:r>
          </w:p>
        </w:tc>
      </w:tr>
    </w:tbl>
    <w:p>
      <w:pPr>
        <w:spacing w:before="60" w:after="180" w:line="274" w:lineRule="auto"/>
      </w:pPr>
      <w:r>
        <w:rPr>
          <w:rFonts w:ascii="Arial" w:hAnsi="Arial"/>
          <w:b/>
          <w:i w:val="0"/>
          <w:color w:val="B47B00"/>
          <w:sz w:val="20"/>
        </w:rPr>
        <w:t xml:space="preserve">Immediate reporting channel: </w:t>
      </w:r>
      <w:r>
        <w:rPr>
          <w:rFonts w:ascii="Arial" w:hAnsi="Arial"/>
          <w:b w:val="0"/>
          <w:i w:val="0"/>
          <w:color w:val="12233F"/>
          <w:sz w:val="20"/>
        </w:rPr>
        <w:t>[Enter phone, secure email and backup contact]. Personnel should not investigate or erase evidence unless directed by the incident lead.</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10</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Service Provider and Vendor Oversight</w:t>
            </w:r>
          </w:p>
        </w:tc>
      </w:tr>
    </w:tbl>
    <w:p>
      <w:pPr>
        <w:spacing w:before="100" w:after="180" w:line="274" w:lineRule="auto"/>
      </w:pPr>
      <w:r>
        <w:rPr>
          <w:rFonts w:ascii="Arial" w:hAnsi="Arial"/>
          <w:b w:val="0"/>
          <w:i/>
          <w:color w:val="52627A"/>
          <w:sz w:val="20"/>
        </w:rPr>
        <w:t>Apply deeper review when a provider can reach sensitive systems or customer information.</w:t>
      </w:r>
    </w:p>
    <w:tbl>
      <w:tblPr>
        <w:tblW w:type="auto" w:w="0"/>
        <w:jc w:val="center"/>
        <w:tblLayout w:type="fixed"/>
        <w:tblLook w:firstColumn="1" w:firstRow="1" w:lastColumn="0" w:lastRow="0" w:noHBand="0" w:noVBand="1" w:val="04A0"/>
      </w:tblPr>
      <w:tblGrid>
        <w:gridCol w:w="1728"/>
        <w:gridCol w:w="1800"/>
        <w:gridCol w:w="720"/>
        <w:gridCol w:w="2016"/>
        <w:gridCol w:w="2592"/>
        <w:gridCol w:w="1224"/>
      </w:tblGrid>
      <w:tr>
        <w:trPr>
          <w:tblHeader w:val="true"/>
        </w:trPr>
        <w:tc>
          <w:tcPr>
            <w:tcW w:type="dxa" w:w="172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PROVIDER / SERVICE</w:t>
            </w:r>
          </w:p>
        </w:tc>
        <w:tc>
          <w:tcPr>
            <w:tcW w:type="dxa" w:w="180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DATA / ACCESS</w:t>
            </w:r>
          </w:p>
        </w:tc>
        <w:tc>
          <w:tcPr>
            <w:tcW w:type="dxa" w:w="72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RISK</w:t>
            </w:r>
          </w:p>
        </w:tc>
        <w:tc>
          <w:tcPr>
            <w:tcW w:type="dxa" w:w="2015"/>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DUE DILIGENCE</w:t>
            </w:r>
          </w:p>
        </w:tc>
        <w:tc>
          <w:tcPr>
            <w:tcW w:type="dxa" w:w="259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CONTRACT / INCIDENT TERMS</w:t>
            </w:r>
          </w:p>
        </w:tc>
        <w:tc>
          <w:tcPr>
            <w:tcW w:type="dxa" w:w="122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REVIEW</w:t>
            </w:r>
          </w:p>
        </w:tc>
      </w:tr>
      <w:tr>
        <w:trPr>
          <w:cantSplit/>
        </w:trPr>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[Provider 1]</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 / access]</w:t>
            </w:r>
          </w:p>
        </w:tc>
        <w:tc>
          <w:tcPr>
            <w:tcW w:type="dxa" w:w="72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[H/M/L]</w:t>
            </w:r>
          </w:p>
        </w:tc>
        <w:tc>
          <w:tcPr>
            <w:tcW w:type="dxa" w:w="201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c>
          <w:tcPr>
            <w:tcW w:type="dxa" w:w="25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[Terms / gaps]</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r>
      <w:tr>
        <w:trPr>
          <w:cantSplit/>
        </w:trPr>
        <w:tc>
          <w:tcPr>
            <w:tcW w:type="dxa" w:w="172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[Provider 2]</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 / access]</w:t>
            </w:r>
          </w:p>
        </w:tc>
        <w:tc>
          <w:tcPr>
            <w:tcW w:type="dxa" w:w="72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[H/M/L]</w:t>
            </w:r>
          </w:p>
        </w:tc>
        <w:tc>
          <w:tcPr>
            <w:tcW w:type="dxa" w:w="201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c>
          <w:tcPr>
            <w:tcW w:type="dxa" w:w="25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[Terms / gaps]</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r>
      <w:tr>
        <w:trPr>
          <w:cantSplit/>
        </w:trPr>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[Provider 3]</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 / access]</w:t>
            </w:r>
          </w:p>
        </w:tc>
        <w:tc>
          <w:tcPr>
            <w:tcW w:type="dxa" w:w="72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[H/M/L]</w:t>
            </w:r>
          </w:p>
        </w:tc>
        <w:tc>
          <w:tcPr>
            <w:tcW w:type="dxa" w:w="201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c>
          <w:tcPr>
            <w:tcW w:type="dxa" w:w="25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[Terms / gaps]</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r>
      <w:tr>
        <w:trPr>
          <w:cantSplit/>
        </w:trPr>
        <w:tc>
          <w:tcPr>
            <w:tcW w:type="dxa" w:w="172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[Provider 4]</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 / access]</w:t>
            </w:r>
          </w:p>
        </w:tc>
        <w:tc>
          <w:tcPr>
            <w:tcW w:type="dxa" w:w="72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[H/M/L]</w:t>
            </w:r>
          </w:p>
        </w:tc>
        <w:tc>
          <w:tcPr>
            <w:tcW w:type="dxa" w:w="201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c>
          <w:tcPr>
            <w:tcW w:type="dxa" w:w="25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[Terms / gaps]</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r>
      <w:tr>
        <w:trPr>
          <w:cantSplit/>
        </w:trPr>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[Provider 5]</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[Data / access]</w:t>
            </w:r>
          </w:p>
        </w:tc>
        <w:tc>
          <w:tcPr>
            <w:tcW w:type="dxa" w:w="72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[H/M/L]</w:t>
            </w:r>
          </w:p>
        </w:tc>
        <w:tc>
          <w:tcPr>
            <w:tcW w:type="dxa" w:w="201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c>
          <w:tcPr>
            <w:tcW w:type="dxa" w:w="25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[Terms / gaps]</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r>
    </w:tbl>
    <w:p>
      <w:pPr>
        <w:pStyle w:val="Heading2"/>
      </w:pPr>
      <w:r>
        <w:t>Risk-based review</w:t>
      </w:r>
    </w:p>
    <w:p>
      <w:pPr>
        <w:spacing w:before="0" w:after="160" w:line="274" w:lineRule="auto"/>
      </w:pPr>
      <w:r>
        <w:rPr>
          <w:rFonts w:ascii="Arial" w:hAnsi="Arial"/>
          <w:b w:val="0"/>
          <w:i w:val="0"/>
          <w:color w:val="12233F"/>
          <w:sz w:val="20"/>
        </w:rPr>
        <w:t>Confirm and retain evidence appropriate to the provider’s access and criticality.</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Security program, independent assurance, encryption, MFA, logging and vulnerability management.</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Data location, retention, deletion, subcontractors, model training and secondary use.</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Incident-notice timing, cooperation, investigation records and allocation of responsibility.</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Business continuity, backup, recovery targets, financial viability and exit support.</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Contractual safeguards, confidentiality, audit rights and cyber-insurance requirements.</w:t>
      </w:r>
    </w:p>
    <w:p>
      <w:pPr>
        <w:spacing w:after="80" w:line="269" w:lineRule="auto"/>
        <w:ind w:left="173" w:hanging="173"/>
      </w:pPr>
      <w:r>
        <w:rPr>
          <w:rFonts w:ascii="Arial" w:hAnsi="Arial"/>
          <w:b/>
          <w:i w:val="0"/>
          <w:color w:val="2457E6"/>
          <w:sz w:val="20"/>
        </w:rPr>
        <w:t xml:space="preserve">[ ] </w:t>
      </w:r>
      <w:r>
        <w:rPr>
          <w:rFonts w:ascii="Arial" w:hAnsi="Arial"/>
          <w:b w:val="0"/>
          <w:i w:val="0"/>
          <w:color w:val="12233F"/>
          <w:sz w:val="20"/>
        </w:rPr>
        <w:t>Termination steps: export, verified deletion, access revocation and integration cleanup.</w:t>
      </w:r>
    </w:p>
    <w:p>
      <w:pPr>
        <w:spacing w:before="60" w:after="180" w:line="274" w:lineRule="auto"/>
      </w:pPr>
      <w:r>
        <w:rPr>
          <w:rFonts w:ascii="Arial" w:hAnsi="Arial"/>
          <w:b/>
          <w:i w:val="0"/>
          <w:color w:val="0B2343"/>
          <w:sz w:val="20"/>
        </w:rPr>
        <w:t xml:space="preserve">Review cadence: </w:t>
      </w:r>
      <w:r>
        <w:rPr>
          <w:rFonts w:ascii="Arial" w:hAnsi="Arial"/>
          <w:b w:val="0"/>
          <w:i w:val="0"/>
          <w:color w:val="12233F"/>
          <w:sz w:val="20"/>
        </w:rPr>
        <w:t>High-risk providers [frequency]; other providers [frequency]; all material changes and incidents [trigger].</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11</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Training, Monitoring and Testing</w:t>
            </w:r>
          </w:p>
        </w:tc>
      </w:tr>
    </w:tbl>
    <w:p>
      <w:pPr>
        <w:spacing w:before="100" w:after="180" w:line="274" w:lineRule="auto"/>
      </w:pPr>
      <w:r>
        <w:rPr>
          <w:rFonts w:ascii="Arial" w:hAnsi="Arial"/>
          <w:b w:val="0"/>
          <w:i/>
          <w:color w:val="52627A"/>
          <w:sz w:val="20"/>
        </w:rPr>
        <w:t>Measure behavior and control performance, not just attendance.</w:t>
      </w:r>
    </w:p>
    <w:p>
      <w:pPr>
        <w:pStyle w:val="Heading2"/>
      </w:pPr>
      <w:r>
        <w:t>Operating schedule</w:t>
      </w:r>
    </w:p>
    <w:p>
      <w:pPr>
        <w:spacing w:before="0" w:after="160" w:line="274" w:lineRule="auto"/>
      </w:pPr>
      <w:r>
        <w:rPr>
          <w:rFonts w:ascii="Arial" w:hAnsi="Arial"/>
          <w:b w:val="0"/>
          <w:i w:val="0"/>
          <w:color w:val="12233F"/>
          <w:sz w:val="20"/>
        </w:rPr>
        <w:t>Set a cadence the practice can evidence throughout the year.</w:t>
      </w:r>
    </w:p>
    <w:tbl>
      <w:tblPr>
        <w:tblW w:type="auto" w:w="0"/>
        <w:jc w:val="center"/>
        <w:tblLayout w:type="fixed"/>
        <w:tblLook w:firstColumn="1" w:firstRow="1" w:lastColumn="0" w:lastRow="0" w:noHBand="0" w:noVBand="1" w:val="04A0"/>
      </w:tblPr>
      <w:tblGrid>
        <w:gridCol w:w="2448"/>
        <w:gridCol w:w="2232"/>
        <w:gridCol w:w="1728"/>
        <w:gridCol w:w="1224"/>
        <w:gridCol w:w="2448"/>
      </w:tblGrid>
      <w:tr>
        <w:trPr>
          <w:tblHeader w:val="true"/>
        </w:trPr>
        <w:tc>
          <w:tcPr>
            <w:tcW w:type="dxa" w:w="244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ACTIVITY</w:t>
            </w:r>
          </w:p>
        </w:tc>
        <w:tc>
          <w:tcPr>
            <w:tcW w:type="dxa" w:w="223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AUDIENCE / SCOPE</w:t>
            </w:r>
          </w:p>
        </w:tc>
        <w:tc>
          <w:tcPr>
            <w:tcW w:type="dxa" w:w="172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FREQUENCY</w:t>
            </w:r>
          </w:p>
        </w:tc>
        <w:tc>
          <w:tcPr>
            <w:tcW w:type="dxa" w:w="122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OWNER</w:t>
            </w:r>
          </w:p>
        </w:tc>
        <w:tc>
          <w:tcPr>
            <w:tcW w:type="dxa" w:w="244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EVIDENCE / LAST RESULT</w:t>
            </w:r>
          </w:p>
        </w:tc>
      </w:tr>
      <w:tr>
        <w:trPr>
          <w:cantSplit/>
        </w:trPr>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Security awareness and tax-scam training</w:t>
            </w:r>
          </w:p>
        </w:tc>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All personnel</w:t>
            </w:r>
          </w:p>
        </w:tc>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Hire + annual + seasonal</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[Record / result]</w:t>
            </w:r>
          </w:p>
        </w:tc>
      </w:tr>
      <w:tr>
        <w:trPr>
          <w:cantSplit/>
        </w:trPr>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Phishing exercise or equivalent check</w:t>
            </w:r>
          </w:p>
        </w:tc>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Email users</w:t>
            </w:r>
          </w:p>
        </w:tc>
        <w:tc>
          <w:tcPr>
            <w:tcW w:type="dxa" w:w="172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[Frequency]</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[Result / coaching]</w:t>
            </w:r>
          </w:p>
        </w:tc>
      </w:tr>
      <w:tr>
        <w:trPr>
          <w:cantSplit/>
        </w:trPr>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Access and privileged-role review</w:t>
            </w:r>
          </w:p>
        </w:tc>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Critical systems</w:t>
            </w:r>
          </w:p>
        </w:tc>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[Frequency]</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[Record / removals]</w:t>
            </w:r>
          </w:p>
        </w:tc>
      </w:tr>
      <w:tr>
        <w:trPr>
          <w:cantSplit/>
        </w:trPr>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Vulnerability / patch review</w:t>
            </w:r>
          </w:p>
        </w:tc>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Managed devices and systems</w:t>
            </w:r>
          </w:p>
        </w:tc>
        <w:tc>
          <w:tcPr>
            <w:tcW w:type="dxa" w:w="172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[Frequency]</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[Result / remediation]</w:t>
            </w:r>
          </w:p>
        </w:tc>
      </w:tr>
      <w:tr>
        <w:trPr>
          <w:cantSplit/>
        </w:trPr>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Backup restoration test</w:t>
            </w:r>
          </w:p>
        </w:tc>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Critical data and systems</w:t>
            </w:r>
          </w:p>
        </w:tc>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[Frequency]</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[Result / recovery time]</w:t>
            </w:r>
          </w:p>
        </w:tc>
      </w:tr>
      <w:tr>
        <w:trPr>
          <w:cantSplit/>
        </w:trPr>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Incident tabletop exercise</w:t>
            </w:r>
          </w:p>
        </w:tc>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Response team</w:t>
            </w:r>
          </w:p>
        </w:tc>
        <w:tc>
          <w:tcPr>
            <w:tcW w:type="dxa" w:w="172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At least annual</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[Lessons / actions]</w:t>
            </w:r>
          </w:p>
        </w:tc>
      </w:tr>
      <w:tr>
        <w:trPr>
          <w:cantSplit/>
        </w:trPr>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Program effectiveness review</w:t>
            </w:r>
          </w:p>
        </w:tc>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WISP safeguards</w:t>
            </w:r>
          </w:p>
        </w:tc>
        <w:tc>
          <w:tcPr>
            <w:tcW w:type="dxa" w:w="172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At least annual</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[Report / changes]</w:t>
            </w:r>
          </w:p>
        </w:tc>
      </w:tr>
    </w:tbl>
    <w:p>
      <w:pPr>
        <w:pStyle w:val="Heading2"/>
      </w:pPr>
      <w:r>
        <w:t>Metrics for leadership</w:t>
      </w:r>
    </w:p>
    <w:p>
      <w:pPr>
        <w:spacing w:before="0" w:after="160" w:line="274" w:lineRule="auto"/>
      </w:pPr>
      <w:r>
        <w:rPr>
          <w:rFonts w:ascii="Arial" w:hAnsi="Arial"/>
          <w:b w:val="0"/>
          <w:i w:val="0"/>
          <w:color w:val="12233F"/>
          <w:sz w:val="20"/>
        </w:rPr>
        <w:t>Select a small set that exposes delay or control failure.</w:t>
      </w:r>
    </w:p>
    <w:p>
      <w:pPr>
        <w:pStyle w:val="ListBullet"/>
        <w:spacing w:before="0" w:after="80" w:line="269" w:lineRule="auto"/>
      </w:pPr>
      <w:r>
        <w:rPr>
          <w:rFonts w:ascii="Arial" w:hAnsi="Arial"/>
          <w:b w:val="0"/>
          <w:i w:val="0"/>
          <w:color w:val="12233F"/>
          <w:sz w:val="20"/>
        </w:rPr>
        <w:t>MFA coverage, unsupported devices, critical patch age and unresolved high risks.</w:t>
      </w:r>
    </w:p>
    <w:p>
      <w:pPr>
        <w:pStyle w:val="ListBullet"/>
        <w:spacing w:before="0" w:after="80" w:line="269" w:lineRule="auto"/>
      </w:pPr>
      <w:r>
        <w:rPr>
          <w:rFonts w:ascii="Arial" w:hAnsi="Arial"/>
          <w:b w:val="0"/>
          <w:i w:val="0"/>
          <w:color w:val="12233F"/>
          <w:sz w:val="20"/>
        </w:rPr>
        <w:t>Training completion, repeat simulation failures and time to remove departing-user access.</w:t>
      </w:r>
    </w:p>
    <w:p>
      <w:pPr>
        <w:pStyle w:val="ListBullet"/>
        <w:spacing w:before="0" w:after="80" w:line="269" w:lineRule="auto"/>
      </w:pPr>
      <w:r>
        <w:rPr>
          <w:rFonts w:ascii="Arial" w:hAnsi="Arial"/>
          <w:b w:val="0"/>
          <w:i w:val="0"/>
          <w:color w:val="12233F"/>
          <w:sz w:val="20"/>
        </w:rPr>
        <w:t>Backup success and restoration time, vendor reviews overdue and incident-response actions open.</w:t>
      </w:r>
    </w:p>
    <w:tbl>
      <w:tblPr>
        <w:tblW w:type="auto" w:w="0"/>
        <w:jc w:val="center"/>
        <w:tblLayout w:type="fixed"/>
        <w:tblLook w:firstColumn="1" w:firstRow="1" w:lastColumn="0" w:lastRow="0" w:noHBand="0" w:noVBand="1" w:val="04A0"/>
      </w:tblPr>
      <w:tblGrid>
        <w:gridCol w:w="3024"/>
        <w:gridCol w:w="7085"/>
      </w:tblGrid>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Current reporting cadence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cadence and recipients]</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Issue escalation threshold</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threshold and authority]</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Evidence repository</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restricted location and retention]</w:t>
            </w:r>
          </w:p>
        </w:tc>
      </w:tr>
    </w:tbl>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12</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Incident Response: First 24 Hours</w:t>
            </w:r>
          </w:p>
        </w:tc>
      </w:tr>
    </w:tbl>
    <w:p>
      <w:pPr>
        <w:spacing w:before="100" w:after="180" w:line="274" w:lineRule="auto"/>
      </w:pPr>
      <w:r>
        <w:rPr>
          <w:rFonts w:ascii="Arial" w:hAnsi="Arial"/>
          <w:b w:val="0"/>
          <w:i/>
          <w:color w:val="52627A"/>
          <w:sz w:val="20"/>
        </w:rPr>
        <w:t>Protect people and evidence, contain safely and coordinate required notifications.</w:t>
      </w:r>
    </w:p>
    <w:tbl>
      <w:tblPr>
        <w:tblW w:type="auto" w:w="0"/>
        <w:jc w:val="center"/>
        <w:tblLayout w:type="fixed"/>
        <w:tblLook w:firstColumn="1" w:firstRow="1" w:lastColumn="0" w:lastRow="0" w:noHBand="0" w:noVBand="1" w:val="04A0"/>
      </w:tblPr>
      <w:tblGrid>
        <w:gridCol w:w="173"/>
        <w:gridCol w:w="9936"/>
      </w:tblGrid>
      <w:tr>
        <w:tc>
          <w:tcPr>
            <w:tcW w:type="dxa" w:w="5141"/>
            <w:shd w:fill="B47B00"/>
            <w:tcMar>
              <w:top w:w="0" w:type="dxa"/>
              <w:start w:w="0" w:type="dxa"/>
              <w:bottom w:w="0" w:type="dxa"/>
              <w:end w:w="0" w:type="dxa"/>
            </w:tcMar>
            <w:tcBorders>
              <w:top w:val="nil"/>
              <w:left w:val="nil"/>
              <w:bottom w:val="nil"/>
              <w:right w:val="nil"/>
            </w:tcBorders>
          </w:tcPr>
          <w:p/>
        </w:tc>
        <w:tc>
          <w:tcPr>
            <w:tcW w:type="dxa" w:w="5141"/>
            <w:shd w:fill="FFF7E2"/>
            <w:tcMar>
              <w:top w:w="145" w:type="dxa"/>
              <w:start w:w="165" w:type="dxa"/>
              <w:bottom w:w="145" w:type="dxa"/>
              <w:end w:w="165" w:type="dxa"/>
            </w:tcMar>
            <w:tcBorders>
              <w:top w:val="nil"/>
              <w:left w:val="nil"/>
              <w:bottom w:val="nil"/>
              <w:right w:val="nil"/>
            </w:tcBorders>
          </w:tcPr>
          <w:p>
            <w:pPr>
              <w:spacing w:before="0" w:after="80" w:line="259" w:lineRule="auto"/>
            </w:pPr>
            <w:r>
              <w:rPr>
                <w:rFonts w:ascii="Arial" w:hAnsi="Arial"/>
                <w:b/>
                <w:i w:val="0"/>
                <w:color w:val="B47B00"/>
                <w:sz w:val="20"/>
              </w:rPr>
              <w:t>Report suspected tax-practice data theft immediately</w:t>
            </w:r>
          </w:p>
          <w:p>
            <w:pPr>
              <w:spacing w:before="0" w:after="0" w:line="274" w:lineRule="auto"/>
            </w:pPr>
            <w:r>
              <w:rPr>
                <w:rFonts w:ascii="Arial" w:hAnsi="Arial"/>
                <w:b w:val="0"/>
                <w:i w:val="0"/>
                <w:color w:val="12233F"/>
                <w:sz w:val="19"/>
              </w:rPr>
              <w:t>Contact the IRS Stakeholder Liaison for the practice’s state or territory as soon as suspected client data theft is identified. Also follow insurer, legal, law-enforcement and state reporting procedures applicable to the facts.</w:t>
            </w:r>
          </w:p>
        </w:tc>
      </w:tr>
    </w:tbl>
    <w:p>
      <w:pPr>
        <w:spacing w:after="0"/>
      </w:pPr>
    </w:p>
    <w:p>
      <w:pPr>
        <w:pStyle w:val="Heading2"/>
      </w:pPr>
      <w:r>
        <w:t>First-response sequence</w:t>
      </w:r>
    </w:p>
    <w:p>
      <w:pPr>
        <w:spacing w:before="0" w:after="160" w:line="274" w:lineRule="auto"/>
      </w:pPr>
      <w:r>
        <w:rPr>
          <w:rFonts w:ascii="Arial" w:hAnsi="Arial"/>
          <w:b w:val="0"/>
          <w:i w:val="0"/>
          <w:color w:val="12233F"/>
          <w:sz w:val="20"/>
        </w:rPr>
        <w:t>The incident lead adapts the sequence to the event; safety and legal direction take priority.</w:t>
      </w:r>
    </w:p>
    <w:p>
      <w:pPr>
        <w:spacing w:before="0" w:after="160" w:line="274" w:lineRule="auto"/>
        <w:ind w:left="461" w:hanging="461"/>
      </w:pPr>
      <w:r>
        <w:rPr>
          <w:rFonts w:ascii="Arial" w:hAnsi="Arial"/>
          <w:b/>
          <w:i w:val="0"/>
          <w:color w:val="2457E6"/>
          <w:sz w:val="20"/>
        </w:rPr>
        <w:t xml:space="preserve">1. </w:t>
      </w:r>
      <w:r>
        <w:rPr>
          <w:rFonts w:ascii="Arial" w:hAnsi="Arial"/>
          <w:b/>
          <w:i w:val="0"/>
          <w:color w:val="0B2343"/>
          <w:sz w:val="20"/>
        </w:rPr>
        <w:t xml:space="preserve">Escalate: </w:t>
      </w:r>
      <w:r>
        <w:rPr>
          <w:rFonts w:ascii="Arial" w:hAnsi="Arial"/>
          <w:b w:val="0"/>
          <w:i w:val="0"/>
          <w:color w:val="12233F"/>
          <w:sz w:val="20"/>
        </w:rPr>
        <w:t>Use the offline contact sheet; involve the Qualified Individual, technology lead, counsel and insurer as appropriate.</w:t>
      </w:r>
    </w:p>
    <w:p>
      <w:pPr>
        <w:spacing w:before="0" w:after="160" w:line="274" w:lineRule="auto"/>
        <w:ind w:left="461" w:hanging="461"/>
      </w:pPr>
      <w:r>
        <w:rPr>
          <w:rFonts w:ascii="Arial" w:hAnsi="Arial"/>
          <w:b/>
          <w:i w:val="0"/>
          <w:color w:val="2457E6"/>
          <w:sz w:val="20"/>
        </w:rPr>
        <w:t xml:space="preserve">2. </w:t>
      </w:r>
      <w:r>
        <w:rPr>
          <w:rFonts w:ascii="Arial" w:hAnsi="Arial"/>
          <w:b/>
          <w:i w:val="0"/>
          <w:color w:val="0B2343"/>
          <w:sz w:val="20"/>
        </w:rPr>
        <w:t xml:space="preserve">Preserve: </w:t>
      </w:r>
      <w:r>
        <w:rPr>
          <w:rFonts w:ascii="Arial" w:hAnsi="Arial"/>
          <w:b w:val="0"/>
          <w:i w:val="0"/>
          <w:color w:val="12233F"/>
          <w:sz w:val="20"/>
        </w:rPr>
        <w:t>Record who discovered what and when; preserve messages, logs, devices and timelines. Do not destroy or casually alter evidence.</w:t>
      </w:r>
    </w:p>
    <w:p>
      <w:pPr>
        <w:spacing w:before="0" w:after="160" w:line="274" w:lineRule="auto"/>
        <w:ind w:left="461" w:hanging="461"/>
      </w:pPr>
      <w:r>
        <w:rPr>
          <w:rFonts w:ascii="Arial" w:hAnsi="Arial"/>
          <w:b/>
          <w:i w:val="0"/>
          <w:color w:val="2457E6"/>
          <w:sz w:val="20"/>
        </w:rPr>
        <w:t xml:space="preserve">3. </w:t>
      </w:r>
      <w:r>
        <w:rPr>
          <w:rFonts w:ascii="Arial" w:hAnsi="Arial"/>
          <w:b/>
          <w:i w:val="0"/>
          <w:color w:val="0B2343"/>
          <w:sz w:val="20"/>
        </w:rPr>
        <w:t xml:space="preserve">Contain: </w:t>
      </w:r>
      <w:r>
        <w:rPr>
          <w:rFonts w:ascii="Arial" w:hAnsi="Arial"/>
          <w:b w:val="0"/>
          <w:i w:val="0"/>
          <w:color w:val="12233F"/>
          <w:sz w:val="20"/>
        </w:rPr>
        <w:t>Isolate affected accounts or systems, revoke sessions and block malicious activity under technical and legal direction.</w:t>
      </w:r>
    </w:p>
    <w:p>
      <w:pPr>
        <w:spacing w:before="0" w:after="160" w:line="274" w:lineRule="auto"/>
        <w:ind w:left="461" w:hanging="461"/>
      </w:pPr>
      <w:r>
        <w:rPr>
          <w:rFonts w:ascii="Arial" w:hAnsi="Arial"/>
          <w:b/>
          <w:i w:val="0"/>
          <w:color w:val="2457E6"/>
          <w:sz w:val="20"/>
        </w:rPr>
        <w:t xml:space="preserve">4. </w:t>
      </w:r>
      <w:r>
        <w:rPr>
          <w:rFonts w:ascii="Arial" w:hAnsi="Arial"/>
          <w:b/>
          <w:i w:val="0"/>
          <w:color w:val="0B2343"/>
          <w:sz w:val="20"/>
        </w:rPr>
        <w:t xml:space="preserve">Assess: </w:t>
      </w:r>
      <w:r>
        <w:rPr>
          <w:rFonts w:ascii="Arial" w:hAnsi="Arial"/>
          <w:b w:val="0"/>
          <w:i w:val="0"/>
          <w:color w:val="12233F"/>
          <w:sz w:val="20"/>
        </w:rPr>
        <w:t>Identify systems, information, people, dates and jurisdictions affected; distinguish confirmed facts from assumptions.</w:t>
      </w:r>
    </w:p>
    <w:p>
      <w:pPr>
        <w:spacing w:before="0" w:after="160" w:line="274" w:lineRule="auto"/>
        <w:ind w:left="461" w:hanging="461"/>
      </w:pPr>
      <w:r>
        <w:rPr>
          <w:rFonts w:ascii="Arial" w:hAnsi="Arial"/>
          <w:b/>
          <w:i w:val="0"/>
          <w:color w:val="2457E6"/>
          <w:sz w:val="20"/>
        </w:rPr>
        <w:t xml:space="preserve">5. </w:t>
      </w:r>
      <w:r>
        <w:rPr>
          <w:rFonts w:ascii="Arial" w:hAnsi="Arial"/>
          <w:b/>
          <w:i w:val="0"/>
          <w:color w:val="0B2343"/>
          <w:sz w:val="20"/>
        </w:rPr>
        <w:t xml:space="preserve">Notify: </w:t>
      </w:r>
      <w:r>
        <w:rPr>
          <w:rFonts w:ascii="Arial" w:hAnsi="Arial"/>
          <w:b w:val="0"/>
          <w:i w:val="0"/>
          <w:color w:val="12233F"/>
          <w:sz w:val="20"/>
        </w:rPr>
        <w:t>Apply the reporting matrix and policy notice terms; coordinate communications so they are accurate and authorized.</w:t>
      </w:r>
    </w:p>
    <w:p>
      <w:pPr>
        <w:spacing w:before="0" w:after="160" w:line="274" w:lineRule="auto"/>
        <w:ind w:left="461" w:hanging="461"/>
      </w:pPr>
      <w:r>
        <w:rPr>
          <w:rFonts w:ascii="Arial" w:hAnsi="Arial"/>
          <w:b/>
          <w:i w:val="0"/>
          <w:color w:val="2457E6"/>
          <w:sz w:val="20"/>
        </w:rPr>
        <w:t xml:space="preserve">6. </w:t>
      </w:r>
      <w:r>
        <w:rPr>
          <w:rFonts w:ascii="Arial" w:hAnsi="Arial"/>
          <w:b/>
          <w:i w:val="0"/>
          <w:color w:val="0B2343"/>
          <w:sz w:val="20"/>
        </w:rPr>
        <w:t xml:space="preserve">Recover and learn: </w:t>
      </w:r>
      <w:r>
        <w:rPr>
          <w:rFonts w:ascii="Arial" w:hAnsi="Arial"/>
          <w:b w:val="0"/>
          <w:i w:val="0"/>
          <w:color w:val="12233F"/>
          <w:sz w:val="20"/>
        </w:rPr>
        <w:t>Restore safely, monitor for recurrence, document decisions and update safeguards after the event.</w:t>
      </w:r>
    </w:p>
    <w:p>
      <w:pPr>
        <w:pStyle w:val="Heading2"/>
      </w:pPr>
      <w:r>
        <w:t>Warning signs</w:t>
      </w:r>
    </w:p>
    <w:p>
      <w:pPr>
        <w:spacing w:before="0" w:after="160" w:line="274" w:lineRule="auto"/>
      </w:pPr>
      <w:r>
        <w:rPr>
          <w:rFonts w:ascii="Arial" w:hAnsi="Arial"/>
          <w:b w:val="0"/>
          <w:i w:val="0"/>
          <w:color w:val="12233F"/>
          <w:sz w:val="20"/>
        </w:rPr>
        <w:t>Treat these as potential incidents until reviewed.</w:t>
      </w:r>
    </w:p>
    <w:p>
      <w:pPr>
        <w:pStyle w:val="ListBullet"/>
        <w:spacing w:before="0" w:after="80" w:line="269" w:lineRule="auto"/>
      </w:pPr>
      <w:r>
        <w:rPr>
          <w:rFonts w:ascii="Arial" w:hAnsi="Arial"/>
          <w:b w:val="0"/>
          <w:i w:val="0"/>
          <w:color w:val="12233F"/>
          <w:sz w:val="20"/>
        </w:rPr>
        <w:t>Unexpected e-file rejections, client transcripts, account changes or preparer-account activity.</w:t>
      </w:r>
    </w:p>
    <w:p>
      <w:pPr>
        <w:pStyle w:val="ListBullet"/>
        <w:spacing w:before="0" w:after="80" w:line="269" w:lineRule="auto"/>
      </w:pPr>
      <w:r>
        <w:rPr>
          <w:rFonts w:ascii="Arial" w:hAnsi="Arial"/>
          <w:b w:val="0"/>
          <w:i w:val="0"/>
          <w:color w:val="12233F"/>
          <w:sz w:val="20"/>
        </w:rPr>
        <w:t>Mailbox forwarding rules, MFA prompts, unusual logins, password resets or messages not sent by the user.</w:t>
      </w:r>
    </w:p>
    <w:p>
      <w:pPr>
        <w:pStyle w:val="ListBullet"/>
        <w:spacing w:before="0" w:after="80" w:line="269" w:lineRule="auto"/>
      </w:pPr>
      <w:r>
        <w:rPr>
          <w:rFonts w:ascii="Arial" w:hAnsi="Arial"/>
          <w:b w:val="0"/>
          <w:i w:val="0"/>
          <w:color w:val="12233F"/>
          <w:sz w:val="20"/>
        </w:rPr>
        <w:t>Security tools disabled, files encrypted, unexplained exports, remote-control software or missing devices.</w:t>
      </w:r>
    </w:p>
    <w:p>
      <w:pPr>
        <w:spacing w:before="60" w:after="180" w:line="274" w:lineRule="auto"/>
      </w:pPr>
      <w:r>
        <w:rPr>
          <w:rFonts w:ascii="Arial" w:hAnsi="Arial"/>
          <w:b/>
          <w:i w:val="0"/>
          <w:color w:val="0B2343"/>
          <w:sz w:val="20"/>
        </w:rPr>
        <w:t xml:space="preserve">Offline contact sheet location: </w:t>
      </w:r>
      <w:r>
        <w:rPr>
          <w:rFonts w:ascii="Arial" w:hAnsi="Arial"/>
          <w:b w:val="0"/>
          <w:i w:val="0"/>
          <w:color w:val="12233F"/>
          <w:sz w:val="20"/>
        </w:rPr>
        <w:t>[Enter secure offline location]. Last verified: [date]. Owner: [name].</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13</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Incident Reporting and Decision Matrix</w:t>
            </w:r>
          </w:p>
        </w:tc>
      </w:tr>
    </w:tbl>
    <w:p>
      <w:pPr>
        <w:spacing w:before="100" w:after="180" w:line="274" w:lineRule="auto"/>
      </w:pPr>
      <w:r>
        <w:rPr>
          <w:rFonts w:ascii="Arial" w:hAnsi="Arial"/>
          <w:b w:val="0"/>
          <w:i/>
          <w:color w:val="52627A"/>
          <w:sz w:val="20"/>
        </w:rPr>
        <w:t>Use counsel and current source guidance; timing can run from discovery, not final certainty.</w:t>
      </w:r>
    </w:p>
    <w:tbl>
      <w:tblPr>
        <w:tblW w:type="auto" w:w="0"/>
        <w:jc w:val="center"/>
        <w:tblLayout w:type="fixed"/>
        <w:tblLook w:firstColumn="1" w:firstRow="1" w:lastColumn="0" w:lastRow="0" w:noHBand="0" w:noVBand="1" w:val="04A0"/>
      </w:tblPr>
      <w:tblGrid>
        <w:gridCol w:w="1656"/>
        <w:gridCol w:w="3096"/>
        <w:gridCol w:w="1800"/>
        <w:gridCol w:w="1944"/>
        <w:gridCol w:w="1584"/>
      </w:tblGrid>
      <w:tr>
        <w:trPr>
          <w:tblHeader w:val="true"/>
        </w:trPr>
        <w:tc>
          <w:tcPr>
            <w:tcW w:type="dxa" w:w="1655"/>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RECIPIENT</w:t>
            </w:r>
          </w:p>
        </w:tc>
        <w:tc>
          <w:tcPr>
            <w:tcW w:type="dxa" w:w="3096"/>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TRIGGER / PURPOSE</w:t>
            </w:r>
          </w:p>
        </w:tc>
        <w:tc>
          <w:tcPr>
            <w:tcW w:type="dxa" w:w="180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TIMING</w:t>
            </w:r>
          </w:p>
        </w:tc>
        <w:tc>
          <w:tcPr>
            <w:tcW w:type="dxa" w:w="194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OWNER / CONTACT</w:t>
            </w:r>
          </w:p>
        </w:tc>
        <w:tc>
          <w:tcPr>
            <w:tcW w:type="dxa" w:w="158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EVIDENCE</w:t>
            </w:r>
          </w:p>
        </w:tc>
      </w:tr>
      <w:tr>
        <w:trPr>
          <w:cantSplit/>
        </w:trPr>
        <w:tc>
          <w:tcPr>
            <w:tcW w:type="dxa" w:w="165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IRS Stakeholder Liaison</w:t>
            </w:r>
          </w:p>
        </w:tc>
        <w:tc>
          <w:tcPr>
            <w:tcW w:type="dxa" w:w="30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Suspected tax-practice client data theft</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Immediately</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[Name / phone]</w:t>
            </w:r>
          </w:p>
        </w:tc>
        <w:tc>
          <w:tcPr>
            <w:tcW w:type="dxa" w:w="158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[Case / date]</w:t>
            </w:r>
          </w:p>
        </w:tc>
      </w:tr>
      <w:tr>
        <w:trPr>
          <w:cantSplit/>
        </w:trPr>
        <w:tc>
          <w:tcPr>
            <w:tcW w:type="dxa" w:w="165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Cyber / professional insurer</w:t>
            </w:r>
          </w:p>
        </w:tc>
        <w:tc>
          <w:tcPr>
            <w:tcW w:type="dxa" w:w="309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Event or circumstance meeting policy notice terms</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Per policy; promptly</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[Carrier / broker / hotline]</w:t>
            </w:r>
          </w:p>
        </w:tc>
        <w:tc>
          <w:tcPr>
            <w:tcW w:type="dxa" w:w="158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[Claim / notice]</w:t>
            </w:r>
          </w:p>
        </w:tc>
      </w:tr>
      <w:tr>
        <w:trPr>
          <w:cantSplit/>
        </w:trPr>
        <w:tc>
          <w:tcPr>
            <w:tcW w:type="dxa" w:w="165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FTC</w:t>
            </w:r>
          </w:p>
        </w:tc>
        <w:tc>
          <w:tcPr>
            <w:tcW w:type="dxa" w:w="30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Qualifying notification event involving unencrypted customer information of at least 500 consumers</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As soon as possible; no later than 30 days after discovery</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[Counsel / owner]</w:t>
            </w:r>
          </w:p>
        </w:tc>
        <w:tc>
          <w:tcPr>
            <w:tcW w:type="dxa" w:w="158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 / filing]</w:t>
            </w:r>
          </w:p>
        </w:tc>
      </w:tr>
      <w:tr>
        <w:trPr>
          <w:cantSplit/>
        </w:trPr>
        <w:tc>
          <w:tcPr>
            <w:tcW w:type="dxa" w:w="165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State regulators / attorneys general</w:t>
            </w:r>
          </w:p>
        </w:tc>
        <w:tc>
          <w:tcPr>
            <w:tcW w:type="dxa" w:w="309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State breach, tax, privacy or professional-duty trigger</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Per applicable law</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[Counsel / owner]</w:t>
            </w:r>
          </w:p>
        </w:tc>
        <w:tc>
          <w:tcPr>
            <w:tcW w:type="dxa" w:w="158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 / filing]</w:t>
            </w:r>
          </w:p>
        </w:tc>
      </w:tr>
      <w:tr>
        <w:trPr>
          <w:cantSplit/>
        </w:trPr>
        <w:tc>
          <w:tcPr>
            <w:tcW w:type="dxa" w:w="165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Law enforcement / FBI IC3</w:t>
            </w:r>
          </w:p>
        </w:tc>
        <w:tc>
          <w:tcPr>
            <w:tcW w:type="dxa" w:w="30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Crime, extortion, fraud or threat requiring assistance</w:t>
            </w:r>
          </w:p>
        </w:tc>
        <w:tc>
          <w:tcPr>
            <w:tcW w:type="dxa" w:w="180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Promptly as advised</w:t>
            </w:r>
          </w:p>
        </w:tc>
        <w:tc>
          <w:tcPr>
            <w:tcW w:type="dxa" w:w="194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 / counsel]</w:t>
            </w:r>
          </w:p>
        </w:tc>
        <w:tc>
          <w:tcPr>
            <w:tcW w:type="dxa" w:w="158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[Report number]</w:t>
            </w:r>
          </w:p>
        </w:tc>
      </w:tr>
      <w:tr>
        <w:trPr>
          <w:cantSplit/>
        </w:trPr>
        <w:tc>
          <w:tcPr>
            <w:tcW w:type="dxa" w:w="165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Affected clients / other parties</w:t>
            </w:r>
          </w:p>
        </w:tc>
        <w:tc>
          <w:tcPr>
            <w:tcW w:type="dxa" w:w="309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Notice or protective action required by law, contract or risk</w:t>
            </w:r>
          </w:p>
        </w:tc>
        <w:tc>
          <w:tcPr>
            <w:tcW w:type="dxa" w:w="180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As directed</w:t>
            </w:r>
          </w:p>
        </w:tc>
        <w:tc>
          <w:tcPr>
            <w:tcW w:type="dxa" w:w="194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[Communications lead]</w:t>
            </w:r>
          </w:p>
        </w:tc>
        <w:tc>
          <w:tcPr>
            <w:tcW w:type="dxa" w:w="158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[Approved notice]</w:t>
            </w:r>
          </w:p>
        </w:tc>
      </w:tr>
    </w:tbl>
    <w:p>
      <w:pPr>
        <w:pStyle w:val="Heading2"/>
      </w:pPr>
      <w:r>
        <w:t>Information to prepare</w:t>
      </w:r>
    </w:p>
    <w:p>
      <w:pPr>
        <w:spacing w:before="0" w:after="160" w:line="274" w:lineRule="auto"/>
      </w:pPr>
      <w:r>
        <w:rPr>
          <w:rFonts w:ascii="Arial" w:hAnsi="Arial"/>
          <w:b w:val="0"/>
          <w:i w:val="0"/>
          <w:color w:val="12233F"/>
          <w:sz w:val="20"/>
        </w:rPr>
        <w:t>Collect only through an approved secure channel and follow current instructions.</w:t>
      </w:r>
    </w:p>
    <w:p>
      <w:pPr>
        <w:pStyle w:val="ListBullet"/>
        <w:spacing w:before="0" w:after="80" w:line="269" w:lineRule="auto"/>
      </w:pPr>
      <w:r>
        <w:rPr>
          <w:rFonts w:ascii="Arial" w:hAnsi="Arial"/>
          <w:b w:val="0"/>
          <w:i w:val="0"/>
          <w:color w:val="12233F"/>
          <w:sz w:val="20"/>
        </w:rPr>
        <w:t>Practice contact information, PTIN / EFIN details, discovery and incident dates and a concise factual narrative.</w:t>
      </w:r>
    </w:p>
    <w:p>
      <w:pPr>
        <w:pStyle w:val="ListBullet"/>
        <w:spacing w:before="0" w:after="80" w:line="269" w:lineRule="auto"/>
      </w:pPr>
      <w:r>
        <w:rPr>
          <w:rFonts w:ascii="Arial" w:hAnsi="Arial"/>
          <w:b w:val="0"/>
          <w:i w:val="0"/>
          <w:color w:val="12233F"/>
          <w:sz w:val="20"/>
        </w:rPr>
        <w:t>Affected systems, known safeguards, MFA status, preparer identifiers and a secure list of affected taxpayer identifiers if requested.</w:t>
      </w:r>
    </w:p>
    <w:p>
      <w:pPr>
        <w:pStyle w:val="ListBullet"/>
        <w:spacing w:before="0" w:after="80" w:line="269" w:lineRule="auto"/>
      </w:pPr>
      <w:r>
        <w:rPr>
          <w:rFonts w:ascii="Arial" w:hAnsi="Arial"/>
          <w:b w:val="0"/>
          <w:i w:val="0"/>
          <w:color w:val="12233F"/>
          <w:sz w:val="20"/>
        </w:rPr>
        <w:t>Actions already taken, technical contacts, insurer / counsel contacts and preserved evidence locations.</w:t>
      </w:r>
    </w:p>
    <w:tbl>
      <w:tblPr>
        <w:tblW w:type="auto" w:w="0"/>
        <w:jc w:val="center"/>
        <w:tblLayout w:type="fixed"/>
        <w:tblLook w:firstColumn="1" w:firstRow="1" w:lastColumn="0" w:lastRow="0" w:noHBand="0" w:noVBand="1" w:val="04A0"/>
      </w:tblPr>
      <w:tblGrid>
        <w:gridCol w:w="173"/>
        <w:gridCol w:w="9936"/>
      </w:tblGrid>
      <w:tr>
        <w:tc>
          <w:tcPr>
            <w:tcW w:type="dxa" w:w="5141"/>
            <w:shd w:fill="B47B00"/>
            <w:tcMar>
              <w:top w:w="0" w:type="dxa"/>
              <w:start w:w="0" w:type="dxa"/>
              <w:bottom w:w="0" w:type="dxa"/>
              <w:end w:w="0" w:type="dxa"/>
            </w:tcMar>
            <w:tcBorders>
              <w:top w:val="nil"/>
              <w:left w:val="nil"/>
              <w:bottom w:val="nil"/>
              <w:right w:val="nil"/>
            </w:tcBorders>
          </w:tcPr>
          <w:p/>
        </w:tc>
        <w:tc>
          <w:tcPr>
            <w:tcW w:type="dxa" w:w="5141"/>
            <w:shd w:fill="FFF7E2"/>
            <w:tcMar>
              <w:top w:w="145" w:type="dxa"/>
              <w:start w:w="165" w:type="dxa"/>
              <w:bottom w:w="145" w:type="dxa"/>
              <w:end w:w="165" w:type="dxa"/>
            </w:tcMar>
            <w:tcBorders>
              <w:top w:val="nil"/>
              <w:left w:val="nil"/>
              <w:bottom w:val="nil"/>
              <w:right w:val="nil"/>
            </w:tcBorders>
          </w:tcPr>
          <w:p>
            <w:pPr>
              <w:spacing w:before="0" w:after="80" w:line="259" w:lineRule="auto"/>
            </w:pPr>
            <w:r>
              <w:rPr>
                <w:rFonts w:ascii="Arial" w:hAnsi="Arial"/>
                <w:b/>
                <w:i w:val="0"/>
                <w:color w:val="B47B00"/>
                <w:sz w:val="20"/>
              </w:rPr>
              <w:t>Do not improvise sensitive submissions</w:t>
            </w:r>
          </w:p>
          <w:p>
            <w:pPr>
              <w:spacing w:before="0" w:after="0" w:line="274" w:lineRule="auto"/>
            </w:pPr>
            <w:r>
              <w:rPr>
                <w:rFonts w:ascii="Arial" w:hAnsi="Arial"/>
                <w:b w:val="0"/>
                <w:i w:val="0"/>
                <w:color w:val="12233F"/>
                <w:sz w:val="19"/>
              </w:rPr>
              <w:t>Verify the current recipient and secure transmission method. Do not send names, addresses, Social Security numbers or other sensitive details by ordinary email unless an authorized process specifically requires it.</w:t>
            </w:r>
          </w:p>
        </w:tc>
      </w:tr>
    </w:tbl>
    <w:p>
      <w:pPr>
        <w:spacing w:after="0"/>
      </w:pP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14</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Business Continuity, Retention and Disposal</w:t>
            </w:r>
          </w:p>
        </w:tc>
      </w:tr>
    </w:tbl>
    <w:p>
      <w:pPr>
        <w:spacing w:before="100" w:after="180" w:line="274" w:lineRule="auto"/>
      </w:pPr>
      <w:r>
        <w:rPr>
          <w:rFonts w:ascii="Arial" w:hAnsi="Arial"/>
          <w:b w:val="0"/>
          <w:i/>
          <w:color w:val="52627A"/>
          <w:sz w:val="20"/>
        </w:rPr>
        <w:t>Recover essential services while limiting unnecessary copies of customer information.</w:t>
      </w:r>
    </w:p>
    <w:p>
      <w:pPr>
        <w:pStyle w:val="Heading2"/>
      </w:pPr>
      <w:r>
        <w:t>Continuity priorities</w:t>
      </w:r>
    </w:p>
    <w:p>
      <w:pPr>
        <w:spacing w:before="0" w:after="160" w:line="274" w:lineRule="auto"/>
      </w:pPr>
      <w:r>
        <w:rPr>
          <w:rFonts w:ascii="Arial" w:hAnsi="Arial"/>
          <w:b w:val="0"/>
          <w:i w:val="0"/>
          <w:color w:val="12233F"/>
          <w:sz w:val="20"/>
        </w:rPr>
        <w:t>Define measurable recovery objectives and safe fallback methods.</w:t>
      </w:r>
    </w:p>
    <w:tbl>
      <w:tblPr>
        <w:tblW w:type="auto" w:w="0"/>
        <w:jc w:val="center"/>
        <w:tblLayout w:type="fixed"/>
        <w:tblLook w:firstColumn="1" w:firstRow="1" w:lastColumn="0" w:lastRow="0" w:noHBand="0" w:noVBand="1" w:val="04A0"/>
      </w:tblPr>
      <w:tblGrid>
        <w:gridCol w:w="2232"/>
        <w:gridCol w:w="1224"/>
        <w:gridCol w:w="1512"/>
        <w:gridCol w:w="3096"/>
        <w:gridCol w:w="2016"/>
      </w:tblGrid>
      <w:tr>
        <w:trPr>
          <w:tblHeader w:val="true"/>
        </w:trPr>
        <w:tc>
          <w:tcPr>
            <w:tcW w:type="dxa" w:w="223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CRITICAL SERVICE</w:t>
            </w:r>
          </w:p>
        </w:tc>
        <w:tc>
          <w:tcPr>
            <w:tcW w:type="dxa" w:w="122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OWNER</w:t>
            </w:r>
          </w:p>
        </w:tc>
        <w:tc>
          <w:tcPr>
            <w:tcW w:type="dxa" w:w="151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RECOVERY TARGET</w:t>
            </w:r>
          </w:p>
        </w:tc>
        <w:tc>
          <w:tcPr>
            <w:tcW w:type="dxa" w:w="3096"/>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DEPENDENCIES / FALLBACK</w:t>
            </w:r>
          </w:p>
        </w:tc>
        <w:tc>
          <w:tcPr>
            <w:tcW w:type="dxa" w:w="2015"/>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LAST TEST / RESULT</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Client communication</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[RTO / RPO]</w:t>
            </w:r>
          </w:p>
        </w:tc>
        <w:tc>
          <w:tcPr>
            <w:tcW w:type="dxa" w:w="30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[Dependencies / method]</w:t>
            </w:r>
          </w:p>
        </w:tc>
        <w:tc>
          <w:tcPr>
            <w:tcW w:type="dxa" w:w="201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 / result]</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Tax preparation and e-file</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[RTO / RPO]</w:t>
            </w:r>
          </w:p>
        </w:tc>
        <w:tc>
          <w:tcPr>
            <w:tcW w:type="dxa" w:w="309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[Dependencies / method]</w:t>
            </w:r>
          </w:p>
        </w:tc>
        <w:tc>
          <w:tcPr>
            <w:tcW w:type="dxa" w:w="201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 / result]</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Portal and document access</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[RTO / RPO]</w:t>
            </w:r>
          </w:p>
        </w:tc>
        <w:tc>
          <w:tcPr>
            <w:tcW w:type="dxa" w:w="30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[Dependencies / method]</w:t>
            </w:r>
          </w:p>
        </w:tc>
        <w:tc>
          <w:tcPr>
            <w:tcW w:type="dxa" w:w="201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 / result]</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Payroll / bookkeeping</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[RTO / RPO]</w:t>
            </w:r>
          </w:p>
        </w:tc>
        <w:tc>
          <w:tcPr>
            <w:tcW w:type="dxa" w:w="309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[Dependencies / method]</w:t>
            </w:r>
          </w:p>
        </w:tc>
        <w:tc>
          <w:tcPr>
            <w:tcW w:type="dxa" w:w="2015"/>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 / result]</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Identity, email and administration</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[RTO / RPO]</w:t>
            </w:r>
          </w:p>
        </w:tc>
        <w:tc>
          <w:tcPr>
            <w:tcW w:type="dxa" w:w="30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[Dependencies / method]</w:t>
            </w:r>
          </w:p>
        </w:tc>
        <w:tc>
          <w:tcPr>
            <w:tcW w:type="dxa" w:w="2015"/>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[Date / result]</w:t>
            </w:r>
          </w:p>
        </w:tc>
      </w:tr>
    </w:tbl>
    <w:p>
      <w:pPr>
        <w:pStyle w:val="Heading2"/>
      </w:pPr>
      <w:r>
        <w:t>Retention and disposal schedule</w:t>
      </w:r>
    </w:p>
    <w:p>
      <w:pPr>
        <w:spacing w:before="0" w:after="160" w:line="274" w:lineRule="auto"/>
      </w:pPr>
      <w:r>
        <w:rPr>
          <w:rFonts w:ascii="Arial" w:hAnsi="Arial"/>
          <w:b w:val="0"/>
          <w:i w:val="0"/>
          <w:color w:val="12233F"/>
          <w:sz w:val="20"/>
        </w:rPr>
        <w:t>Tie each category to a legitimate requirement and verifiable destruction method.</w:t>
      </w:r>
    </w:p>
    <w:tbl>
      <w:tblPr>
        <w:tblW w:type="auto" w:w="0"/>
        <w:jc w:val="center"/>
        <w:tblLayout w:type="fixed"/>
        <w:tblLook w:firstColumn="1" w:firstRow="1" w:lastColumn="0" w:lastRow="0" w:noHBand="0" w:noVBand="1" w:val="04A0"/>
      </w:tblPr>
      <w:tblGrid>
        <w:gridCol w:w="2304"/>
        <w:gridCol w:w="2448"/>
        <w:gridCol w:w="1440"/>
        <w:gridCol w:w="2304"/>
        <w:gridCol w:w="1584"/>
      </w:tblGrid>
      <w:tr>
        <w:trPr>
          <w:tblHeader w:val="true"/>
        </w:trPr>
        <w:tc>
          <w:tcPr>
            <w:tcW w:type="dxa" w:w="230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RECORD / MEDIA</w:t>
            </w:r>
          </w:p>
        </w:tc>
        <w:tc>
          <w:tcPr>
            <w:tcW w:type="dxa" w:w="244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RETENTION BASIS / PERIOD</w:t>
            </w:r>
          </w:p>
        </w:tc>
        <w:tc>
          <w:tcPr>
            <w:tcW w:type="dxa" w:w="144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SYSTEM OWNER</w:t>
            </w:r>
          </w:p>
        </w:tc>
        <w:tc>
          <w:tcPr>
            <w:tcW w:type="dxa" w:w="230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DISPOSAL METHOD</w:t>
            </w:r>
          </w:p>
        </w:tc>
        <w:tc>
          <w:tcPr>
            <w:tcW w:type="dxa" w:w="158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EVIDENCE</w:t>
            </w:r>
          </w:p>
        </w:tc>
      </w:tr>
      <w:tr>
        <w:trPr>
          <w:cantSplit/>
        </w:trPr>
        <w:tc>
          <w:tcPr>
            <w:tcW w:type="dxa" w:w="230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Client tax and identity records</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[Basis / period]</w:t>
            </w:r>
          </w:p>
        </w:tc>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230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[Method]</w:t>
            </w:r>
          </w:p>
        </w:tc>
        <w:tc>
          <w:tcPr>
            <w:tcW w:type="dxa" w:w="158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[Log / certificate]</w:t>
            </w:r>
          </w:p>
        </w:tc>
      </w:tr>
      <w:tr>
        <w:trPr>
          <w:cantSplit/>
        </w:trPr>
        <w:tc>
          <w:tcPr>
            <w:tcW w:type="dxa" w:w="230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Email, portal and collaboration data</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[Basis / period]</w:t>
            </w:r>
          </w:p>
        </w:tc>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230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[Method]</w:t>
            </w:r>
          </w:p>
        </w:tc>
        <w:tc>
          <w:tcPr>
            <w:tcW w:type="dxa" w:w="158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[Log / certificate]</w:t>
            </w:r>
          </w:p>
        </w:tc>
      </w:tr>
      <w:tr>
        <w:trPr>
          <w:cantSplit/>
        </w:trPr>
        <w:tc>
          <w:tcPr>
            <w:tcW w:type="dxa" w:w="230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Backups, exports and temporary files</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[Basis / period]</w:t>
            </w:r>
          </w:p>
        </w:tc>
        <w:tc>
          <w:tcPr>
            <w:tcW w:type="dxa" w:w="14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230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[Method]</w:t>
            </w:r>
          </w:p>
        </w:tc>
        <w:tc>
          <w:tcPr>
            <w:tcW w:type="dxa" w:w="158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[Log / certificate]</w:t>
            </w:r>
          </w:p>
        </w:tc>
      </w:tr>
      <w:tr>
        <w:trPr>
          <w:cantSplit/>
        </w:trPr>
        <w:tc>
          <w:tcPr>
            <w:tcW w:type="dxa" w:w="230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Devices, paper and removable media</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[Basis / period]</w:t>
            </w:r>
          </w:p>
        </w:tc>
        <w:tc>
          <w:tcPr>
            <w:tcW w:type="dxa" w:w="14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230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[Method]</w:t>
            </w:r>
          </w:p>
        </w:tc>
        <w:tc>
          <w:tcPr>
            <w:tcW w:type="dxa" w:w="158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[Log / certificate]</w:t>
            </w:r>
          </w:p>
        </w:tc>
      </w:tr>
    </w:tbl>
    <w:p>
      <w:pPr>
        <w:spacing w:before="60" w:after="180" w:line="274" w:lineRule="auto"/>
      </w:pPr>
      <w:r>
        <w:rPr>
          <w:rFonts w:ascii="Arial" w:hAnsi="Arial"/>
          <w:b/>
          <w:i w:val="0"/>
          <w:color w:val="0B2343"/>
          <w:sz w:val="20"/>
        </w:rPr>
        <w:t xml:space="preserve">Legal hold: </w:t>
      </w:r>
      <w:r>
        <w:rPr>
          <w:rFonts w:ascii="Arial" w:hAnsi="Arial"/>
          <w:b w:val="0"/>
          <w:i w:val="0"/>
          <w:color w:val="12233F"/>
          <w:sz w:val="20"/>
        </w:rPr>
        <w:t>Suspend ordinary disposal when [role] issues a hold. Document scope, custodians, start date and release approval.</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15</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Annual Report, Approval and Change Control</w:t>
            </w:r>
          </w:p>
        </w:tc>
      </w:tr>
    </w:tbl>
    <w:p>
      <w:pPr>
        <w:spacing w:before="100" w:after="180" w:line="274" w:lineRule="auto"/>
      </w:pPr>
      <w:r>
        <w:rPr>
          <w:rFonts w:ascii="Arial" w:hAnsi="Arial"/>
          <w:b w:val="0"/>
          <w:i/>
          <w:color w:val="52627A"/>
          <w:sz w:val="20"/>
        </w:rPr>
        <w:t>Turn testing and incident lessons into leadership decisions.</w:t>
      </w:r>
    </w:p>
    <w:p>
      <w:pPr>
        <w:pStyle w:val="Heading2"/>
      </w:pPr>
      <w:r>
        <w:t>Qualified Individual report</w:t>
      </w:r>
    </w:p>
    <w:p>
      <w:pPr>
        <w:spacing w:before="0" w:after="160" w:line="274" w:lineRule="auto"/>
      </w:pPr>
      <w:r>
        <w:rPr>
          <w:rFonts w:ascii="Arial" w:hAnsi="Arial"/>
          <w:b w:val="0"/>
          <w:i w:val="0"/>
          <w:color w:val="12233F"/>
          <w:sz w:val="20"/>
        </w:rPr>
        <w:t>Summarize the program’s status and material issues for the governing body or senior officer.</w:t>
      </w:r>
    </w:p>
    <w:tbl>
      <w:tblPr>
        <w:tblW w:type="auto" w:w="0"/>
        <w:jc w:val="center"/>
        <w:tblLayout w:type="fixed"/>
        <w:tblLook w:firstColumn="1" w:firstRow="1" w:lastColumn="0" w:lastRow="0" w:noHBand="0" w:noVBand="1" w:val="04A0"/>
      </w:tblPr>
      <w:tblGrid>
        <w:gridCol w:w="3240"/>
        <w:gridCol w:w="4392"/>
        <w:gridCol w:w="2448"/>
      </w:tblGrid>
      <w:tr>
        <w:trPr>
          <w:tblHeader w:val="true"/>
        </w:trPr>
        <w:tc>
          <w:tcPr>
            <w:tcW w:type="dxa" w:w="324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REPORT ELEMENT</w:t>
            </w:r>
          </w:p>
        </w:tc>
        <w:tc>
          <w:tcPr>
            <w:tcW w:type="dxa" w:w="439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SUMMARY / EVIDENCE</w:t>
            </w:r>
          </w:p>
        </w:tc>
        <w:tc>
          <w:tcPr>
            <w:tcW w:type="dxa" w:w="244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DECISION / ACTION</w:t>
            </w:r>
          </w:p>
        </w:tc>
      </w:tr>
      <w:tr>
        <w:trPr>
          <w:cantSplit/>
        </w:trPr>
        <w:tc>
          <w:tcPr>
            <w:tcW w:type="dxa" w:w="32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Overall program status and scope</w:t>
            </w:r>
          </w:p>
        </w:tc>
        <w:tc>
          <w:tcPr>
            <w:tcW w:type="dxa" w:w="43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[Summary]</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w:t>
            </w:r>
          </w:p>
        </w:tc>
      </w:tr>
      <w:tr>
        <w:trPr>
          <w:cantSplit/>
        </w:trPr>
        <w:tc>
          <w:tcPr>
            <w:tcW w:type="dxa" w:w="32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Risk assessment and material residual risks</w:t>
            </w:r>
          </w:p>
        </w:tc>
        <w:tc>
          <w:tcPr>
            <w:tcW w:type="dxa" w:w="43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[Summary]</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w:t>
            </w:r>
          </w:p>
        </w:tc>
      </w:tr>
      <w:tr>
        <w:trPr>
          <w:cantSplit/>
        </w:trPr>
        <w:tc>
          <w:tcPr>
            <w:tcW w:type="dxa" w:w="32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Safeguard testing and monitoring results</w:t>
            </w:r>
          </w:p>
        </w:tc>
        <w:tc>
          <w:tcPr>
            <w:tcW w:type="dxa" w:w="43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[Summary]</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w:t>
            </w:r>
          </w:p>
        </w:tc>
      </w:tr>
      <w:tr>
        <w:trPr>
          <w:cantSplit/>
        </w:trPr>
        <w:tc>
          <w:tcPr>
            <w:tcW w:type="dxa" w:w="32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Service-provider arrangements</w:t>
            </w:r>
          </w:p>
        </w:tc>
        <w:tc>
          <w:tcPr>
            <w:tcW w:type="dxa" w:w="43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[Summary]</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w:t>
            </w:r>
          </w:p>
        </w:tc>
      </w:tr>
      <w:tr>
        <w:trPr>
          <w:cantSplit/>
        </w:trPr>
        <w:tc>
          <w:tcPr>
            <w:tcW w:type="dxa" w:w="324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Security events and response lessons</w:t>
            </w:r>
          </w:p>
        </w:tc>
        <w:tc>
          <w:tcPr>
            <w:tcW w:type="dxa" w:w="439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[Summary]</w:t>
            </w:r>
          </w:p>
        </w:tc>
        <w:tc>
          <w:tcPr>
            <w:tcW w:type="dxa" w:w="24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w:t>
            </w:r>
          </w:p>
        </w:tc>
      </w:tr>
      <w:tr>
        <w:trPr>
          <w:cantSplit/>
        </w:trPr>
        <w:tc>
          <w:tcPr>
            <w:tcW w:type="dxa" w:w="324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7"/>
              </w:rPr>
              <w:t>Recommended changes, resources and priorities</w:t>
            </w:r>
          </w:p>
        </w:tc>
        <w:tc>
          <w:tcPr>
            <w:tcW w:type="dxa" w:w="439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[Summary]</w:t>
            </w:r>
          </w:p>
        </w:tc>
        <w:tc>
          <w:tcPr>
            <w:tcW w:type="dxa" w:w="24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[Decision]</w:t>
            </w:r>
          </w:p>
        </w:tc>
      </w:tr>
    </w:tbl>
    <w:p>
      <w:pPr>
        <w:pStyle w:val="Heading2"/>
      </w:pPr>
      <w:r>
        <w:t>Change log</w:t>
      </w:r>
    </w:p>
    <w:p>
      <w:pPr>
        <w:spacing w:before="0" w:after="160" w:line="274" w:lineRule="auto"/>
      </w:pPr>
      <w:r>
        <w:rPr>
          <w:rFonts w:ascii="Arial" w:hAnsi="Arial"/>
          <w:b w:val="0"/>
          <w:i w:val="0"/>
          <w:color w:val="12233F"/>
          <w:sz w:val="20"/>
        </w:rPr>
        <w:t>Update after material operational, technology, threat, incident or legal change.</w:t>
      </w:r>
    </w:p>
    <w:tbl>
      <w:tblPr>
        <w:tblW w:type="auto" w:w="0"/>
        <w:jc w:val="center"/>
        <w:tblLayout w:type="fixed"/>
        <w:tblLook w:firstColumn="1" w:firstRow="1" w:lastColumn="0" w:lastRow="0" w:noHBand="0" w:noVBand="1" w:val="04A0"/>
      </w:tblPr>
      <w:tblGrid>
        <w:gridCol w:w="1152"/>
        <w:gridCol w:w="1296"/>
        <w:gridCol w:w="4608"/>
        <w:gridCol w:w="1512"/>
        <w:gridCol w:w="1512"/>
      </w:tblGrid>
      <w:tr>
        <w:trPr>
          <w:tblHeader w:val="true"/>
        </w:trPr>
        <w:tc>
          <w:tcPr>
            <w:tcW w:type="dxa" w:w="115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VERSION</w:t>
            </w:r>
          </w:p>
        </w:tc>
        <w:tc>
          <w:tcPr>
            <w:tcW w:type="dxa" w:w="1296"/>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DATE</w:t>
            </w:r>
          </w:p>
        </w:tc>
        <w:tc>
          <w:tcPr>
            <w:tcW w:type="dxa" w:w="460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CHANGE / REASON</w:t>
            </w:r>
          </w:p>
        </w:tc>
        <w:tc>
          <w:tcPr>
            <w:tcW w:type="dxa" w:w="151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OWNER</w:t>
            </w:r>
          </w:p>
        </w:tc>
        <w:tc>
          <w:tcPr>
            <w:tcW w:type="dxa" w:w="151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APPROVAL</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[Version]</w:t>
            </w:r>
          </w:p>
        </w:tc>
        <w:tc>
          <w:tcPr>
            <w:tcW w:type="dxa" w:w="12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460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[Change and trigger]</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[Approver]</w:t>
            </w:r>
          </w:p>
        </w:tc>
      </w:tr>
      <w:tr>
        <w:trPr>
          <w:cantSplit/>
        </w:trPr>
        <w:tc>
          <w:tcPr>
            <w:tcW w:type="dxa" w:w="115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[Version]</w:t>
            </w:r>
          </w:p>
        </w:tc>
        <w:tc>
          <w:tcPr>
            <w:tcW w:type="dxa" w:w="1296"/>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460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[Change and trigger]</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[Approver]</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[Version]</w:t>
            </w:r>
          </w:p>
        </w:tc>
        <w:tc>
          <w:tcPr>
            <w:tcW w:type="dxa" w:w="1296"/>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460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[Change and trigger]</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[Owner]</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[Approver]</w:t>
            </w:r>
          </w:p>
        </w:tc>
      </w:tr>
    </w:tbl>
    <w:tbl>
      <w:tblPr>
        <w:tblW w:type="auto" w:w="0"/>
        <w:jc w:val="center"/>
        <w:tblLayout w:type="fixed"/>
        <w:tblLook w:firstColumn="1" w:firstRow="1" w:lastColumn="0" w:lastRow="0" w:noHBand="0" w:noVBand="1" w:val="04A0"/>
      </w:tblPr>
      <w:tblGrid>
        <w:gridCol w:w="3024"/>
        <w:gridCol w:w="7085"/>
      </w:tblGrid>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Report period</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period]</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Submitted by / date</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[Qualified Individual and date]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Reviewed and approved by</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[Senior officer / governing body and date]</w:t>
            </w:r>
          </w:p>
        </w:tc>
      </w:tr>
      <w:tr>
        <w:trPr>
          <w:cantSplit/>
        </w:trPr>
        <w:tc>
          <w:tcPr>
            <w:tcW w:type="dxa" w:w="3024"/>
            <w:vAlign w:val="center"/>
            <w:shd w:fill="EDF4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i w:val="0"/>
                <w:color w:val="0B2343"/>
                <w:sz w:val="18"/>
              </w:rPr>
              <w:t>Next review</w:t>
            </w:r>
          </w:p>
        </w:tc>
        <w:tc>
          <w:tcPr>
            <w:tcW w:type="dxa" w:w="7084"/>
            <w:vAlign w:val="center"/>
            <w:shd w:fill="FFFFFF"/>
            <w:tcMar>
              <w:top w:w="145" w:type="dxa"/>
              <w:start w:w="120" w:type="dxa"/>
              <w:bottom w:w="145" w:type="dxa"/>
              <w:end w:w="120" w:type="dxa"/>
            </w:tcMar>
            <w:tcBorders>
              <w:top w:val="single" w:sz="3" w:color="D8E1EC"/>
              <w:left w:val="single" w:sz="3" w:color="D8E1EC"/>
              <w:bottom w:val="single" w:sz="3" w:color="D8E1EC"/>
              <w:right w:val="single" w:sz="3" w:color="D8E1EC"/>
            </w:tcBorders>
          </w:tcPr>
          <w:p>
            <w:pPr>
              <w:spacing w:before="0" w:after="0" w:line="259" w:lineRule="auto"/>
            </w:pPr>
            <w:r>
              <w:rPr>
                <w:rFonts w:ascii="Arial" w:hAnsi="Arial"/>
                <w:b w:val="0"/>
                <w:i w:val="0"/>
                <w:color w:val="2457E6"/>
                <w:sz w:val="18"/>
              </w:rPr>
              <w:t>[Enter date or trigger]</w:t>
            </w:r>
          </w:p>
        </w:tc>
      </w:tr>
    </w:tbl>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16</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Suggested 30-Day WISP Implementation Plan</w:t>
            </w:r>
          </w:p>
        </w:tc>
      </w:tr>
    </w:tbl>
    <w:p>
      <w:pPr>
        <w:spacing w:before="100" w:after="180" w:line="274" w:lineRule="auto"/>
      </w:pPr>
      <w:r>
        <w:rPr>
          <w:rFonts w:ascii="Arial" w:hAnsi="Arial"/>
          <w:b w:val="0"/>
          <w:i/>
          <w:color w:val="52627A"/>
          <w:sz w:val="20"/>
        </w:rPr>
        <w:t>A project sequence, not a legal grace period or universal deadline.</w:t>
      </w:r>
    </w:p>
    <w:tbl>
      <w:tblPr>
        <w:tblW w:type="auto" w:w="0"/>
        <w:jc w:val="center"/>
        <w:tblLayout w:type="fixed"/>
        <w:tblLook w:firstColumn="1" w:firstRow="1" w:lastColumn="0" w:lastRow="0" w:noHBand="0" w:noVBand="1" w:val="04A0"/>
      </w:tblPr>
      <w:tblGrid>
        <w:gridCol w:w="173"/>
        <w:gridCol w:w="9936"/>
      </w:tblGrid>
      <w:tr>
        <w:tc>
          <w:tcPr>
            <w:tcW w:type="dxa" w:w="5141"/>
            <w:shd w:fill="B47B00"/>
            <w:tcMar>
              <w:top w:w="0" w:type="dxa"/>
              <w:start w:w="0" w:type="dxa"/>
              <w:bottom w:w="0" w:type="dxa"/>
              <w:end w:w="0" w:type="dxa"/>
            </w:tcMar>
            <w:tcBorders>
              <w:top w:val="nil"/>
              <w:left w:val="nil"/>
              <w:bottom w:val="nil"/>
              <w:right w:val="nil"/>
            </w:tcBorders>
          </w:tcPr>
          <w:p/>
        </w:tc>
        <w:tc>
          <w:tcPr>
            <w:tcW w:type="dxa" w:w="5141"/>
            <w:shd w:fill="FFF7E2"/>
            <w:tcMar>
              <w:top w:w="145" w:type="dxa"/>
              <w:start w:w="165" w:type="dxa"/>
              <w:bottom w:w="145" w:type="dxa"/>
              <w:end w:w="165" w:type="dxa"/>
            </w:tcMar>
            <w:tcBorders>
              <w:top w:val="nil"/>
              <w:left w:val="nil"/>
              <w:bottom w:val="nil"/>
              <w:right w:val="nil"/>
            </w:tcBorders>
          </w:tcPr>
          <w:p>
            <w:pPr>
              <w:spacing w:before="0" w:after="80" w:line="259" w:lineRule="auto"/>
            </w:pPr>
            <w:r>
              <w:rPr>
                <w:rFonts w:ascii="Arial" w:hAnsi="Arial"/>
                <w:b/>
                <w:i w:val="0"/>
                <w:color w:val="B47B00"/>
                <w:sz w:val="20"/>
              </w:rPr>
              <w:t>Do not delay an existing obligation</w:t>
            </w:r>
          </w:p>
          <w:p>
            <w:pPr>
              <w:spacing w:before="0" w:after="0" w:line="274" w:lineRule="auto"/>
            </w:pPr>
            <w:r>
              <w:rPr>
                <w:rFonts w:ascii="Arial" w:hAnsi="Arial"/>
                <w:b w:val="0"/>
                <w:i w:val="0"/>
                <w:color w:val="12233F"/>
                <w:sz w:val="19"/>
              </w:rPr>
              <w:t>This schedule is a practical way to organize work. It does not postpone requirements that already apply or replace faster action for a known high risk, active incident, insurer deadline or legal notice duty.</w:t>
            </w:r>
          </w:p>
        </w:tc>
      </w:tr>
    </w:tbl>
    <w:p>
      <w:pPr>
        <w:spacing w:after="0"/>
      </w:pPr>
    </w:p>
    <w:tbl>
      <w:tblPr>
        <w:tblW w:type="auto" w:w="0"/>
        <w:jc w:val="center"/>
        <w:tblLayout w:type="fixed"/>
        <w:tblLook w:firstColumn="1" w:firstRow="1" w:lastColumn="0" w:lastRow="0" w:noHBand="0" w:noVBand="1" w:val="04A0"/>
      </w:tblPr>
      <w:tblGrid>
        <w:gridCol w:w="1152"/>
        <w:gridCol w:w="5112"/>
        <w:gridCol w:w="1224"/>
        <w:gridCol w:w="1080"/>
        <w:gridCol w:w="1512"/>
      </w:tblGrid>
      <w:tr>
        <w:trPr>
          <w:tblHeader w:val="true"/>
        </w:trPr>
        <w:tc>
          <w:tcPr>
            <w:tcW w:type="dxa" w:w="115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WHEN</w:t>
            </w:r>
          </w:p>
        </w:tc>
        <w:tc>
          <w:tcPr>
            <w:tcW w:type="dxa" w:w="511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PRIORITY ACTION</w:t>
            </w:r>
          </w:p>
        </w:tc>
        <w:tc>
          <w:tcPr>
            <w:tcW w:type="dxa" w:w="1224"/>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OWNER</w:t>
            </w:r>
          </w:p>
        </w:tc>
        <w:tc>
          <w:tcPr>
            <w:tcW w:type="dxa" w:w="1080"/>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jc w:val="center"/>
            </w:pPr>
            <w:r>
              <w:rPr>
                <w:rFonts w:ascii="Arial" w:hAnsi="Arial"/>
                <w:b/>
                <w:i w:val="0"/>
                <w:color w:val="FFFFFF"/>
                <w:sz w:val="17"/>
              </w:rPr>
              <w:t>DUE</w:t>
            </w:r>
          </w:p>
        </w:tc>
        <w:tc>
          <w:tcPr>
            <w:tcW w:type="dxa" w:w="151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7"/>
              </w:rPr>
              <w:t>EVIDENCE / STATUS</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1–3</w:t>
            </w:r>
          </w:p>
        </w:tc>
        <w:tc>
          <w:tcPr>
            <w:tcW w:type="dxa" w:w="51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Appoint the Qualified Individual; approve scope, contacts and document control.</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115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1–7</w:t>
            </w:r>
          </w:p>
        </w:tc>
        <w:tc>
          <w:tcPr>
            <w:tcW w:type="dxa" w:w="51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Inventory information, systems, devices, integrations and service providers.</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4–10</w:t>
            </w:r>
          </w:p>
        </w:tc>
        <w:tc>
          <w:tcPr>
            <w:tcW w:type="dxa" w:w="51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Complete the written risk assessment; escalate high risks immediately.</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115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5–15</w:t>
            </w:r>
          </w:p>
        </w:tc>
        <w:tc>
          <w:tcPr>
            <w:tcW w:type="dxa" w:w="51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Confirm MFA, encryption, patching, endpoint protection and backup controls.</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10–20</w:t>
            </w:r>
          </w:p>
        </w:tc>
        <w:tc>
          <w:tcPr>
            <w:tcW w:type="dxa" w:w="51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Review high-risk vendors, access lists, retention and remote-work controls.</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115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12–24</w:t>
            </w:r>
          </w:p>
        </w:tc>
        <w:tc>
          <w:tcPr>
            <w:tcW w:type="dxa" w:w="51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Train personnel; obtain acknowledgments; verify reporting contacts offline.</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115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18–27</w:t>
            </w:r>
          </w:p>
        </w:tc>
        <w:tc>
          <w:tcPr>
            <w:tcW w:type="dxa" w:w="51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Test restoration and conduct an incident tabletop exercise.</w:t>
            </w:r>
          </w:p>
        </w:tc>
        <w:tc>
          <w:tcPr>
            <w:tcW w:type="dxa" w:w="1224"/>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r>
        <w:trPr>
          <w:cantSplit/>
        </w:trPr>
        <w:tc>
          <w:tcPr>
            <w:tcW w:type="dxa" w:w="115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i w:val="0"/>
                <w:color w:val="12233F"/>
                <w:sz w:val="17"/>
              </w:rPr>
              <w:t>Days 25–30</w:t>
            </w:r>
          </w:p>
        </w:tc>
        <w:tc>
          <w:tcPr>
            <w:tcW w:type="dxa" w:w="51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7"/>
              </w:rPr>
              <w:t>Obtain qualified review, approve the plan and schedule recurring reviews.</w:t>
            </w:r>
          </w:p>
        </w:tc>
        <w:tc>
          <w:tcPr>
            <w:tcW w:type="dxa" w:w="1224"/>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[Owner]</w:t>
            </w:r>
          </w:p>
        </w:tc>
        <w:tc>
          <w:tcPr>
            <w:tcW w:type="dxa" w:w="1080"/>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jc w:val="center"/>
            </w:pPr>
            <w:r>
              <w:rPr>
                <w:rFonts w:ascii="Arial" w:hAnsi="Arial"/>
                <w:b w:val="0"/>
                <w:i w:val="0"/>
                <w:color w:val="52627A"/>
                <w:sz w:val="17"/>
              </w:rPr>
              <w:t>[Date]</w:t>
            </w:r>
          </w:p>
        </w:tc>
        <w:tc>
          <w:tcPr>
            <w:tcW w:type="dxa" w:w="151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7"/>
              </w:rPr>
              <w:t>[Evidence]</w:t>
            </w:r>
          </w:p>
        </w:tc>
      </w:tr>
    </w:tbl>
    <w:p>
      <w:pPr>
        <w:pStyle w:val="Heading2"/>
      </w:pPr>
      <w:r>
        <w:t>Readiness gate</w:t>
      </w:r>
    </w:p>
    <w:p>
      <w:pPr>
        <w:spacing w:before="0" w:after="160" w:line="274" w:lineRule="auto"/>
      </w:pPr>
      <w:r>
        <w:rPr>
          <w:rFonts w:ascii="Arial" w:hAnsi="Arial"/>
          <w:b w:val="0"/>
          <w:i w:val="0"/>
          <w:color w:val="12233F"/>
          <w:sz w:val="20"/>
        </w:rPr>
        <w:t>Before calling the plan operational, confirm that:</w:t>
      </w:r>
    </w:p>
    <w:p>
      <w:pPr>
        <w:spacing w:after="80" w:line="269" w:lineRule="auto"/>
        <w:ind w:left="173" w:hanging="173"/>
      </w:pPr>
      <w:r>
        <w:rPr>
          <w:rFonts w:ascii="Arial" w:hAnsi="Arial"/>
          <w:b/>
          <w:i w:val="0"/>
          <w:color w:val="2457E6"/>
          <w:sz w:val="18"/>
        </w:rPr>
        <w:t xml:space="preserve">[ ] </w:t>
      </w:r>
      <w:r>
        <w:rPr>
          <w:rFonts w:ascii="Arial" w:hAnsi="Arial"/>
          <w:b w:val="0"/>
          <w:i w:val="0"/>
          <w:color w:val="12233F"/>
          <w:sz w:val="18"/>
        </w:rPr>
        <w:t>Every critical safeguard has an accountable owner and evidence source.</w:t>
      </w:r>
    </w:p>
    <w:p>
      <w:pPr>
        <w:spacing w:after="80" w:line="269" w:lineRule="auto"/>
        <w:ind w:left="173" w:hanging="173"/>
      </w:pPr>
      <w:r>
        <w:rPr>
          <w:rFonts w:ascii="Arial" w:hAnsi="Arial"/>
          <w:b/>
          <w:i w:val="0"/>
          <w:color w:val="2457E6"/>
          <w:sz w:val="18"/>
        </w:rPr>
        <w:t xml:space="preserve">[ ] </w:t>
      </w:r>
      <w:r>
        <w:rPr>
          <w:rFonts w:ascii="Arial" w:hAnsi="Arial"/>
          <w:b w:val="0"/>
          <w:i w:val="0"/>
          <w:color w:val="12233F"/>
          <w:sz w:val="18"/>
        </w:rPr>
        <w:t>High risks have a dated action, approved treatment or documented escalation.</w:t>
      </w:r>
    </w:p>
    <w:p>
      <w:pPr>
        <w:spacing w:after="80" w:line="269" w:lineRule="auto"/>
        <w:ind w:left="173" w:hanging="173"/>
      </w:pPr>
      <w:r>
        <w:rPr>
          <w:rFonts w:ascii="Arial" w:hAnsi="Arial"/>
          <w:b/>
          <w:i w:val="0"/>
          <w:color w:val="2457E6"/>
          <w:sz w:val="18"/>
        </w:rPr>
        <w:t xml:space="preserve">[ ] </w:t>
      </w:r>
      <w:r>
        <w:rPr>
          <w:rFonts w:ascii="Arial" w:hAnsi="Arial"/>
          <w:b w:val="0"/>
          <w:i w:val="0"/>
          <w:color w:val="12233F"/>
          <w:sz w:val="18"/>
        </w:rPr>
        <w:t>Personnel know the immediate incident-reporting channel.</w:t>
      </w:r>
    </w:p>
    <w:p>
      <w:pPr>
        <w:spacing w:after="80" w:line="269" w:lineRule="auto"/>
        <w:ind w:left="173" w:hanging="173"/>
      </w:pPr>
      <w:r>
        <w:rPr>
          <w:rFonts w:ascii="Arial" w:hAnsi="Arial"/>
          <w:b/>
          <w:i w:val="0"/>
          <w:color w:val="2457E6"/>
          <w:sz w:val="18"/>
        </w:rPr>
        <w:t xml:space="preserve">[ ] </w:t>
      </w:r>
      <w:r>
        <w:rPr>
          <w:rFonts w:ascii="Arial" w:hAnsi="Arial"/>
          <w:b w:val="0"/>
          <w:i w:val="0"/>
          <w:color w:val="12233F"/>
          <w:sz w:val="18"/>
        </w:rPr>
        <w:t>IRS, insurer, counsel and technical contacts are current and available offline.</w:t>
      </w:r>
    </w:p>
    <w:p>
      <w:pPr>
        <w:spacing w:after="80" w:line="269" w:lineRule="auto"/>
        <w:ind w:left="173" w:hanging="173"/>
      </w:pPr>
      <w:r>
        <w:rPr>
          <w:rFonts w:ascii="Arial" w:hAnsi="Arial"/>
          <w:b/>
          <w:i w:val="0"/>
          <w:color w:val="2457E6"/>
          <w:sz w:val="18"/>
        </w:rPr>
        <w:t xml:space="preserve">[ ] </w:t>
      </w:r>
      <w:r>
        <w:rPr>
          <w:rFonts w:ascii="Arial" w:hAnsi="Arial"/>
          <w:b w:val="0"/>
          <w:i w:val="0"/>
          <w:color w:val="12233F"/>
          <w:sz w:val="18"/>
        </w:rPr>
        <w:t>Leadership approved the plan and the next review is scheduled.</w:t>
      </w:r>
    </w:p>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17</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Working Glossary</w:t>
            </w:r>
          </w:p>
        </w:tc>
      </w:tr>
    </w:tbl>
    <w:p>
      <w:pPr>
        <w:spacing w:before="100" w:after="180" w:line="274" w:lineRule="auto"/>
      </w:pPr>
      <w:r>
        <w:rPr>
          <w:rFonts w:ascii="Arial" w:hAnsi="Arial"/>
          <w:b w:val="0"/>
          <w:i/>
          <w:color w:val="52627A"/>
          <w:sz w:val="20"/>
        </w:rPr>
        <w:t>Use shared language so owners, personnel and providers make consistent decisions.</w:t>
      </w:r>
    </w:p>
    <w:tbl>
      <w:tblPr>
        <w:tblW w:type="auto" w:w="0"/>
        <w:jc w:val="center"/>
        <w:tblLayout w:type="fixed"/>
        <w:tblLook w:firstColumn="1" w:firstRow="1" w:lastColumn="0" w:lastRow="0" w:noHBand="0" w:noVBand="1" w:val="04A0"/>
      </w:tblPr>
      <w:tblGrid>
        <w:gridCol w:w="2232"/>
        <w:gridCol w:w="7848"/>
      </w:tblGrid>
      <w:tr>
        <w:trPr>
          <w:tblHeader w:val="true"/>
        </w:trPr>
        <w:tc>
          <w:tcPr>
            <w:tcW w:type="dxa" w:w="223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TERM</w:t>
            </w:r>
          </w:p>
        </w:tc>
        <w:tc>
          <w:tcPr>
            <w:tcW w:type="dxa" w:w="784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PLAIN-LANGUAGE MEANING</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Customer information</w:t>
            </w:r>
          </w:p>
        </w:tc>
        <w:tc>
          <w:tcPr>
            <w:tcW w:type="dxa" w:w="78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Nonpublic personal information about a customer handled in connection with providing a financial product or service; confirm the legal definition for this practice.</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Qualified Individual</w:t>
            </w:r>
          </w:p>
        </w:tc>
        <w:tc>
          <w:tcPr>
            <w:tcW w:type="dxa" w:w="78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The person designated to oversee, implement and enforce the information-security program. The role may be internal or provided by an affiliate or service provider.</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Safeguard</w:t>
            </w:r>
          </w:p>
        </w:tc>
        <w:tc>
          <w:tcPr>
            <w:tcW w:type="dxa" w:w="78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An administrative, technical or physical control used to reduce information-security risk.</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Residual risk</w:t>
            </w:r>
          </w:p>
        </w:tc>
        <w:tc>
          <w:tcPr>
            <w:tcW w:type="dxa" w:w="78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Risk that remains after current safeguards are considered.</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Service provider</w:t>
            </w:r>
          </w:p>
        </w:tc>
        <w:tc>
          <w:tcPr>
            <w:tcW w:type="dxa" w:w="78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 party that receives, maintains, processes or can access customer information through services to the practice.</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Security event</w:t>
            </w:r>
          </w:p>
        </w:tc>
        <w:tc>
          <w:tcPr>
            <w:tcW w:type="dxa" w:w="78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An occurrence involving possible unauthorized access, use, disclosure, alteration, loss or destruction of information or systems.</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Notification event</w:t>
            </w:r>
          </w:p>
        </w:tc>
        <w:tc>
          <w:tcPr>
            <w:tcW w:type="dxa" w:w="78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 defined event that may trigger notice to the FTC under the Safeguards Rule; obtain current legal review of the facts and definition.</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RTO / RPO</w:t>
            </w:r>
          </w:p>
        </w:tc>
        <w:tc>
          <w:tcPr>
            <w:tcW w:type="dxa" w:w="78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Recovery time objective: target time to restore. Recovery point objective: acceptable amount of data loss measured in time.</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MFA</w:t>
            </w:r>
          </w:p>
        </w:tc>
        <w:tc>
          <w:tcPr>
            <w:tcW w:type="dxa" w:w="78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Authentication requiring two or more independent factors, such as a password plus a hardware key or authenticator.</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i w:val="0"/>
                <w:color w:val="12233F"/>
                <w:sz w:val="18"/>
              </w:rPr>
              <w:t>Evidence</w:t>
            </w:r>
          </w:p>
        </w:tc>
        <w:tc>
          <w:tcPr>
            <w:tcW w:type="dxa" w:w="78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12233F"/>
                <w:sz w:val="18"/>
              </w:rPr>
              <w:t>A dated record showing a safeguard or decision exists and operates, such as settings, logs, reports, approvals or test results.</w:t>
            </w:r>
          </w:p>
        </w:tc>
      </w:tr>
    </w:tbl>
    <w:p>
      <w:pPr>
        <w:pStyle w:val="Heading2"/>
      </w:pPr>
      <w:r>
        <w:t>Practice-specific terms</w:t>
      </w:r>
    </w:p>
    <w:p>
      <w:pPr>
        <w:spacing w:before="0" w:after="160" w:line="274" w:lineRule="auto"/>
      </w:pPr>
      <w:r>
        <w:rPr>
          <w:rFonts w:ascii="Arial" w:hAnsi="Arial"/>
          <w:b w:val="0"/>
          <w:i w:val="0"/>
          <w:color w:val="12233F"/>
          <w:sz w:val="20"/>
        </w:rPr>
        <w:t>Add terms that personnel or vendors could interpret differently.</w:t>
      </w:r>
    </w:p>
    <w:tbl>
      <w:tblPr>
        <w:tblW w:type="auto" w:w="0"/>
        <w:jc w:val="center"/>
        <w:tblLayout w:type="fixed"/>
        <w:tblLook w:firstColumn="1" w:firstRow="1" w:lastColumn="0" w:lastRow="0" w:noHBand="0" w:noVBand="1" w:val="04A0"/>
      </w:tblPr>
      <w:tblGrid>
        <w:gridCol w:w="2232"/>
        <w:gridCol w:w="7848"/>
      </w:tblGrid>
      <w:tr>
        <w:trPr>
          <w:tblHeader w:val="true"/>
        </w:trPr>
        <w:tc>
          <w:tcPr>
            <w:tcW w:type="dxa" w:w="2232"/>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TERM</w:t>
            </w:r>
          </w:p>
        </w:tc>
        <w:tc>
          <w:tcPr>
            <w:tcW w:type="dxa" w:w="7848"/>
            <w:shd w:fill="0B2343"/>
            <w:vAlign w:val="center"/>
            <w:tcMar>
              <w:top w:w="145" w:type="dxa"/>
              <w:start w:w="115" w:type="dxa"/>
              <w:bottom w:w="145" w:type="dxa"/>
              <w:end w:w="115" w:type="dxa"/>
            </w:tcMar>
            <w:tcBorders>
              <w:top w:val="single" w:sz="4" w:color="0B2343"/>
              <w:left w:val="single" w:sz="4" w:color="0B2343"/>
              <w:bottom w:val="single" w:sz="4" w:color="0B2343"/>
              <w:right w:val="single" w:sz="4" w:color="0B2343"/>
            </w:tcBorders>
          </w:tcPr>
          <w:p>
            <w:pPr>
              <w:spacing w:before="0" w:after="0" w:line="259" w:lineRule="auto"/>
            </w:pPr>
            <w:r>
              <w:rPr>
                <w:rFonts w:ascii="Arial" w:hAnsi="Arial"/>
                <w:b/>
                <w:i w:val="0"/>
                <w:color w:val="FFFFFF"/>
                <w:sz w:val="18"/>
              </w:rPr>
              <w:t>APPROVED DEFINITION / OWNER</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8"/>
              </w:rPr>
              <w:t>[Term]</w:t>
            </w:r>
          </w:p>
        </w:tc>
        <w:tc>
          <w:tcPr>
            <w:tcW w:type="dxa" w:w="78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8"/>
              </w:rPr>
              <w:t>[Definition / owner]</w:t>
            </w:r>
          </w:p>
        </w:tc>
      </w:tr>
      <w:tr>
        <w:trPr>
          <w:cantSplit/>
        </w:trPr>
        <w:tc>
          <w:tcPr>
            <w:tcW w:type="dxa" w:w="2232"/>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8"/>
              </w:rPr>
              <w:t>[Term]</w:t>
            </w:r>
          </w:p>
        </w:tc>
        <w:tc>
          <w:tcPr>
            <w:tcW w:type="dxa" w:w="7848"/>
            <w:shd w:fill="F5F7FA"/>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8"/>
              </w:rPr>
              <w:t>[Definition / owner]</w:t>
            </w:r>
          </w:p>
        </w:tc>
      </w:tr>
      <w:tr>
        <w:trPr>
          <w:cantSplit/>
        </w:trPr>
        <w:tc>
          <w:tcPr>
            <w:tcW w:type="dxa" w:w="2232"/>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8"/>
              </w:rPr>
              <w:t>[Term]</w:t>
            </w:r>
          </w:p>
        </w:tc>
        <w:tc>
          <w:tcPr>
            <w:tcW w:type="dxa" w:w="7848"/>
            <w:shd w:fill="FFFFFF"/>
            <w:vAlign w:val="center"/>
            <w:tcMar>
              <w:top w:w="140" w:type="dxa"/>
              <w:start w:w="115" w:type="dxa"/>
              <w:bottom w:w="140" w:type="dxa"/>
              <w:end w:w="115" w:type="dxa"/>
            </w:tcMar>
            <w:tcBorders>
              <w:top w:val="single" w:sz="3" w:color="D8E1EC"/>
              <w:left w:val="single" w:sz="3" w:color="D8E1EC"/>
              <w:bottom w:val="single" w:sz="3" w:color="D8E1EC"/>
              <w:right w:val="single" w:sz="3" w:color="D8E1EC"/>
            </w:tcBorders>
          </w:tcPr>
          <w:p>
            <w:pPr>
              <w:spacing w:before="0" w:after="0" w:line="269" w:lineRule="auto"/>
            </w:pPr>
            <w:r>
              <w:rPr>
                <w:rFonts w:ascii="Arial" w:hAnsi="Arial"/>
                <w:b w:val="0"/>
                <w:i w:val="0"/>
                <w:color w:val="52627A"/>
                <w:sz w:val="18"/>
              </w:rPr>
              <w:t>[Definition / owner]</w:t>
            </w:r>
          </w:p>
        </w:tc>
      </w:tr>
    </w:tbl>
    <w:p>
      <w:r>
        <w:br w:type="page"/>
      </w:r>
    </w:p>
    <w:tbl>
      <w:tblPr>
        <w:tblW w:type="auto" w:w="0"/>
        <w:jc w:val="center"/>
        <w:tblLayout w:type="fixed"/>
        <w:tblLook w:firstColumn="1" w:firstRow="1" w:lastColumn="0" w:lastRow="0" w:noHBand="0" w:noVBand="1" w:val="04A0"/>
      </w:tblPr>
      <w:tblGrid>
        <w:gridCol w:w="1037"/>
        <w:gridCol w:w="9072"/>
      </w:tblGrid>
      <w:tr>
        <w:tc>
          <w:tcPr>
            <w:tcW w:type="dxa" w:w="5141"/>
            <w:shd w:fill="2457E6"/>
            <w:vAlign w:val="center"/>
            <w:tcMar>
              <w:top w:w="130" w:type="dxa"/>
              <w:start w:w="130" w:type="dxa"/>
              <w:bottom w:w="130" w:type="dxa"/>
              <w:end w:w="130" w:type="dxa"/>
            </w:tcMar>
            <w:tcBorders>
              <w:top w:val="nil"/>
              <w:left w:val="nil"/>
              <w:bottom w:val="nil"/>
              <w:right w:val="nil"/>
            </w:tcBorders>
          </w:tcPr>
          <w:p>
            <w:pPr>
              <w:jc w:val="center"/>
            </w:pPr>
            <w:r>
              <w:rPr>
                <w:rFonts w:ascii="Arial" w:hAnsi="Arial"/>
                <w:b/>
                <w:i w:val="0"/>
                <w:color w:val="FFFFFF"/>
                <w:sz w:val="26"/>
              </w:rPr>
              <w:t>18</w:t>
            </w:r>
          </w:p>
        </w:tc>
        <w:tc>
          <w:tcPr>
            <w:tcW w:type="dxa" w:w="5141"/>
            <w:shd w:fill="0B2343"/>
            <w:vAlign w:val="center"/>
            <w:tcMar>
              <w:top w:w="130" w:type="dxa"/>
              <w:start w:w="130" w:type="dxa"/>
              <w:bottom w:w="130" w:type="dxa"/>
              <w:end w:w="130" w:type="dxa"/>
            </w:tcMar>
            <w:tcBorders>
              <w:top w:val="nil"/>
              <w:left w:val="nil"/>
              <w:bottom w:val="nil"/>
              <w:right w:val="nil"/>
            </w:tcBorders>
          </w:tcPr>
          <w:p>
            <w:r>
              <w:rPr>
                <w:rFonts w:ascii="Arial" w:hAnsi="Arial"/>
                <w:b/>
                <w:i w:val="0"/>
                <w:color w:val="FFFFFF"/>
                <w:sz w:val="25"/>
              </w:rPr>
              <w:t>Authoritative Sources and Important Notice</w:t>
            </w:r>
          </w:p>
        </w:tc>
      </w:tr>
    </w:tbl>
    <w:p>
      <w:pPr>
        <w:spacing w:before="100" w:after="180" w:line="274" w:lineRule="auto"/>
      </w:pPr>
      <w:r>
        <w:rPr>
          <w:rFonts w:ascii="Arial" w:hAnsi="Arial"/>
          <w:b w:val="0"/>
          <w:i/>
          <w:color w:val="52627A"/>
          <w:sz w:val="20"/>
        </w:rPr>
        <w:t>Verify current primary-source guidance whenever the plan is reviewed.</w:t>
      </w:r>
    </w:p>
    <w:p>
      <w:pPr>
        <w:pStyle w:val="Heading2"/>
      </w:pPr>
      <w:r>
        <w:t>Primary sources</w:t>
      </w:r>
    </w:p>
    <w:p>
      <w:pPr>
        <w:spacing w:before="0" w:after="160" w:line="274" w:lineRule="auto"/>
      </w:pPr>
      <w:r>
        <w:rPr>
          <w:rFonts w:ascii="Arial" w:hAnsi="Arial"/>
          <w:b w:val="0"/>
          <w:i w:val="0"/>
          <w:color w:val="12233F"/>
          <w:sz w:val="20"/>
        </w:rPr>
        <w:t>Use these sources with qualified advice when tailoring the plan.</w:t>
      </w:r>
    </w:p>
    <w:p>
      <w:pPr>
        <w:spacing w:before="0" w:after="20" w:line="259" w:lineRule="auto"/>
      </w:pPr>
      <w:r>
        <w:rPr>
          <w:rFonts w:ascii="Arial" w:hAnsi="Arial"/>
          <w:b/>
          <w:i w:val="0"/>
          <w:color w:val="0B2343"/>
          <w:sz w:val="18"/>
        </w:rPr>
        <w:t>FTC — Safeguards Rule: What Your Business Needs to Know</w:t>
      </w:r>
    </w:p>
    <w:p>
      <w:pPr>
        <w:spacing w:before="0" w:after="100" w:line="259" w:lineRule="auto"/>
        <w:ind w:left="202"/>
      </w:pPr>
      <w:r>
        <w:rPr>
          <w:rFonts w:ascii="Arial" w:hAnsi="Arial"/>
          <w:b w:val="0"/>
          <w:i w:val="0"/>
          <w:color w:val="2457E6"/>
          <w:sz w:val="16"/>
        </w:rPr>
        <w:t>https://www.ftc.gov/business-guidance/resources/ftc-safeguards-rule-what-your-business-needs-know</w:t>
      </w:r>
    </w:p>
    <w:p>
      <w:pPr>
        <w:spacing w:before="0" w:after="20" w:line="259" w:lineRule="auto"/>
      </w:pPr>
      <w:r>
        <w:rPr>
          <w:rFonts w:ascii="Arial" w:hAnsi="Arial"/>
          <w:b/>
          <w:i w:val="0"/>
          <w:color w:val="0B2343"/>
          <w:sz w:val="18"/>
        </w:rPr>
        <w:t>IRS Publication 5708 — Creating a WISP for Your Tax &amp; Accounting Practice</w:t>
      </w:r>
    </w:p>
    <w:p>
      <w:pPr>
        <w:spacing w:before="0" w:after="100" w:line="259" w:lineRule="auto"/>
        <w:ind w:left="202"/>
      </w:pPr>
      <w:r>
        <w:rPr>
          <w:rFonts w:ascii="Arial" w:hAnsi="Arial"/>
          <w:b w:val="0"/>
          <w:i w:val="0"/>
          <w:color w:val="2457E6"/>
          <w:sz w:val="16"/>
        </w:rPr>
        <w:t>https://www.irs.gov/pub/irs-pdf/p5708.pdf</w:t>
      </w:r>
    </w:p>
    <w:p>
      <w:pPr>
        <w:spacing w:before="0" w:after="20" w:line="259" w:lineRule="auto"/>
      </w:pPr>
      <w:r>
        <w:rPr>
          <w:rFonts w:ascii="Arial" w:hAnsi="Arial"/>
          <w:b/>
          <w:i w:val="0"/>
          <w:color w:val="0B2343"/>
          <w:sz w:val="18"/>
        </w:rPr>
        <w:t>IRS Publication 4557 — Safeguarding Taxpayer Data</w:t>
      </w:r>
    </w:p>
    <w:p>
      <w:pPr>
        <w:spacing w:before="0" w:after="100" w:line="259" w:lineRule="auto"/>
        <w:ind w:left="202"/>
      </w:pPr>
      <w:r>
        <w:rPr>
          <w:rFonts w:ascii="Arial" w:hAnsi="Arial"/>
          <w:b w:val="0"/>
          <w:i w:val="0"/>
          <w:color w:val="2457E6"/>
          <w:sz w:val="16"/>
        </w:rPr>
        <w:t>https://www.irs.gov/pub/irs-pdf/p4557.pdf</w:t>
      </w:r>
    </w:p>
    <w:p>
      <w:pPr>
        <w:spacing w:before="0" w:after="20" w:line="259" w:lineRule="auto"/>
      </w:pPr>
      <w:r>
        <w:rPr>
          <w:rFonts w:ascii="Arial" w:hAnsi="Arial"/>
          <w:b/>
          <w:i w:val="0"/>
          <w:color w:val="0B2343"/>
          <w:sz w:val="18"/>
        </w:rPr>
        <w:t>IRS — Stakeholder Liaison Contacts</w:t>
      </w:r>
    </w:p>
    <w:p>
      <w:pPr>
        <w:spacing w:before="0" w:after="100" w:line="259" w:lineRule="auto"/>
        <w:ind w:left="202"/>
      </w:pPr>
      <w:r>
        <w:rPr>
          <w:rFonts w:ascii="Arial" w:hAnsi="Arial"/>
          <w:b w:val="0"/>
          <w:i w:val="0"/>
          <w:color w:val="2457E6"/>
          <w:sz w:val="16"/>
        </w:rPr>
        <w:t>https://www.irs.gov/businesses/small-businesses-self-employed/stakeholder-liaison-contacts</w:t>
      </w:r>
    </w:p>
    <w:p>
      <w:pPr>
        <w:spacing w:before="0" w:after="20" w:line="259" w:lineRule="auto"/>
      </w:pPr>
      <w:r>
        <w:rPr>
          <w:rFonts w:ascii="Arial" w:hAnsi="Arial"/>
          <w:b/>
          <w:i w:val="0"/>
          <w:color w:val="0B2343"/>
          <w:sz w:val="18"/>
        </w:rPr>
        <w:t>FTC — Data Breach Response: A Guide for Business</w:t>
      </w:r>
    </w:p>
    <w:p>
      <w:pPr>
        <w:spacing w:before="0" w:after="100" w:line="259" w:lineRule="auto"/>
        <w:ind w:left="202"/>
      </w:pPr>
      <w:r>
        <w:rPr>
          <w:rFonts w:ascii="Arial" w:hAnsi="Arial"/>
          <w:b w:val="0"/>
          <w:i w:val="0"/>
          <w:color w:val="2457E6"/>
          <w:sz w:val="16"/>
        </w:rPr>
        <w:t>https://www.ftc.gov/business-guidance/resources/data-breach-response-guide-business</w:t>
      </w:r>
    </w:p>
    <w:p>
      <w:pPr>
        <w:spacing w:before="0" w:after="20" w:line="259" w:lineRule="auto"/>
      </w:pPr>
      <w:r>
        <w:rPr>
          <w:rFonts w:ascii="Arial" w:hAnsi="Arial"/>
          <w:b/>
          <w:i w:val="0"/>
          <w:color w:val="0B2343"/>
          <w:sz w:val="18"/>
        </w:rPr>
        <w:t>IRS — Identity Theft Information for Tax Professionals</w:t>
      </w:r>
    </w:p>
    <w:p>
      <w:pPr>
        <w:spacing w:before="0" w:after="100" w:line="259" w:lineRule="auto"/>
        <w:ind w:left="202"/>
      </w:pPr>
      <w:r>
        <w:rPr>
          <w:rFonts w:ascii="Arial" w:hAnsi="Arial"/>
          <w:b w:val="0"/>
          <w:i w:val="0"/>
          <w:color w:val="2457E6"/>
          <w:sz w:val="16"/>
        </w:rPr>
        <w:t>https://www.irs.gov/identity-theft-fraud-scams/identity-theft-information-for-tax-professionals</w:t>
      </w:r>
    </w:p>
    <w:tbl>
      <w:tblPr>
        <w:tblW w:type="auto" w:w="0"/>
        <w:jc w:val="center"/>
        <w:tblLayout w:type="fixed"/>
        <w:tblLook w:firstColumn="1" w:firstRow="1" w:lastColumn="0" w:lastRow="0" w:noHBand="0" w:noVBand="1" w:val="04A0"/>
      </w:tblPr>
      <w:tblGrid>
        <w:gridCol w:w="173"/>
        <w:gridCol w:w="9936"/>
      </w:tblGrid>
      <w:tr>
        <w:tc>
          <w:tcPr>
            <w:tcW w:type="dxa" w:w="5141"/>
            <w:shd w:fill="B47B00"/>
            <w:tcMar>
              <w:top w:w="0" w:type="dxa"/>
              <w:start w:w="0" w:type="dxa"/>
              <w:bottom w:w="0" w:type="dxa"/>
              <w:end w:w="0" w:type="dxa"/>
            </w:tcMar>
            <w:tcBorders>
              <w:top w:val="nil"/>
              <w:left w:val="nil"/>
              <w:bottom w:val="nil"/>
              <w:right w:val="nil"/>
            </w:tcBorders>
          </w:tcPr>
          <w:p/>
        </w:tc>
        <w:tc>
          <w:tcPr>
            <w:tcW w:type="dxa" w:w="5141"/>
            <w:shd w:fill="FFF7E2"/>
            <w:tcMar>
              <w:top w:w="145" w:type="dxa"/>
              <w:start w:w="165" w:type="dxa"/>
              <w:bottom w:w="145" w:type="dxa"/>
              <w:end w:w="165" w:type="dxa"/>
            </w:tcMar>
            <w:tcBorders>
              <w:top w:val="nil"/>
              <w:left w:val="nil"/>
              <w:bottom w:val="nil"/>
              <w:right w:val="nil"/>
            </w:tcBorders>
          </w:tcPr>
          <w:p>
            <w:pPr>
              <w:spacing w:before="0" w:after="80" w:line="259" w:lineRule="auto"/>
            </w:pPr>
            <w:r>
              <w:rPr>
                <w:rFonts w:ascii="Arial" w:hAnsi="Arial"/>
                <w:b/>
                <w:i w:val="0"/>
                <w:color w:val="B47B00"/>
                <w:sz w:val="20"/>
              </w:rPr>
              <w:t>Educational use only</w:t>
            </w:r>
          </w:p>
          <w:p>
            <w:pPr>
              <w:spacing w:before="0" w:after="0" w:line="274" w:lineRule="auto"/>
            </w:pPr>
            <w:r>
              <w:rPr>
                <w:rFonts w:ascii="Arial" w:hAnsi="Arial"/>
                <w:b w:val="0"/>
                <w:i w:val="0"/>
                <w:color w:val="12233F"/>
                <w:sz w:val="19"/>
              </w:rPr>
              <w:t>This independent template is general educational information and a starting point for discussion. It is not an official IRS form; does not constitute legal, cybersecurity, tax, accounting or insurance advice; and does not guarantee compliance, security, coverage or claim payment. Requirements vary by facts and jurisdiction and can change. Consult qualified legal, cybersecurity and insurance professionals before adoption or reliance.</w:t>
            </w:r>
          </w:p>
        </w:tc>
      </w:tr>
    </w:tbl>
    <w:p>
      <w:pPr>
        <w:spacing w:after="0"/>
      </w:pPr>
    </w:p>
    <w:p>
      <w:pPr>
        <w:spacing w:before="140"/>
        <w:jc w:val="center"/>
      </w:pPr>
      <w:r>
        <w:rPr>
          <w:rFonts w:ascii="Arial" w:hAnsi="Arial"/>
          <w:b/>
          <w:i w:val="0"/>
          <w:color w:val="2457E6"/>
          <w:sz w:val="22"/>
        </w:rPr>
        <w:t>smallbusinessinsured.com</w:t>
      </w:r>
    </w:p>
    <w:p>
      <w:pPr>
        <w:jc w:val="center"/>
      </w:pPr>
      <w:r>
        <w:rPr>
          <w:rFonts w:ascii="Arial" w:hAnsi="Arial"/>
          <w:b w:val="0"/>
          <w:i w:val="0"/>
          <w:color w:val="52627A"/>
          <w:sz w:val="16"/>
        </w:rPr>
        <w:t>© 2026 Small Business Insured. Customize for your own practice; redistribution or resale requires permission.</w:t>
      </w:r>
    </w:p>
    <w:sectPr w:rsidR="00FC693F" w:rsidRPr="0006063C" w:rsidSect="00034616">
      <w:footerReference w:type="default" r:id="rId9"/>
      <w:pgSz w:w="12240" w:h="15840"/>
      <w:pgMar w:top="835" w:right="979" w:bottom="893" w:left="979"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456"/>
      <w:gridCol w:w="3456"/>
      <w:gridCol w:w="3456"/>
    </w:tblGrid>
    <w:tr>
      <w:tc>
        <w:tcPr>
          <w:tcW w:type="dxa" w:w="3456"/>
          <w:tcBorders>
            <w:top w:val="single" w:sz="7" w:color="D8E1EC"/>
          </w:tcBorders>
          <w:tcMar>
            <w:top w:w="80" w:type="dxa"/>
            <w:start w:w="0" w:type="dxa"/>
            <w:bottom w:w="0" w:type="dxa"/>
            <w:end w:w="0" w:type="dxa"/>
          </w:tcMar>
        </w:tcPr>
        <w:p>
          <w:pPr>
            <w:jc w:val="left"/>
          </w:pPr>
          <w:r>
            <w:rPr>
              <w:rFonts w:ascii="Arial" w:hAnsi="Arial"/>
              <w:b/>
              <w:i w:val="0"/>
              <w:color w:val="0B2343"/>
              <w:sz w:val="15"/>
            </w:rPr>
            <w:t>SMALL BUSINESS INSURED</w:t>
          </w:r>
        </w:p>
      </w:tc>
      <w:tc>
        <w:tcPr>
          <w:tcW w:type="dxa" w:w="3456"/>
          <w:tcBorders>
            <w:top w:val="single" w:sz="7" w:color="D8E1EC"/>
          </w:tcBorders>
          <w:tcMar>
            <w:top w:w="80" w:type="dxa"/>
            <w:start w:w="0" w:type="dxa"/>
            <w:bottom w:w="0" w:type="dxa"/>
            <w:end w:w="0" w:type="dxa"/>
          </w:tcMar>
        </w:tcPr>
        <w:p>
          <w:pPr>
            <w:jc w:val="center"/>
          </w:pPr>
          <w:r>
            <w:rPr>
              <w:rFonts w:ascii="Arial" w:hAnsi="Arial"/>
              <w:b/>
              <w:i w:val="0"/>
              <w:color w:val="52627A"/>
              <w:sz w:val="15"/>
            </w:rPr>
            <w:t>WISP TEMPLATE  |  2026</w:t>
          </w:r>
        </w:p>
      </w:tc>
      <w:tc>
        <w:tcPr>
          <w:tcW w:type="dxa" w:w="3456"/>
          <w:tcBorders>
            <w:top w:val="single" w:sz="7" w:color="D8E1EC"/>
          </w:tcBorders>
          <w:tcMar>
            <w:top w:w="80" w:type="dxa"/>
            <w:start w:w="0" w:type="dxa"/>
            <w:bottom w:w="0" w:type="dxa"/>
            <w:end w:w="0" w:type="dxa"/>
          </w:tcMar>
        </w:tcPr>
        <w:p>
          <w:pPr>
            <w:jc w:val="right"/>
          </w:pPr>
          <w:r>
            <w:rPr>
              <w:rFonts w:ascii="Arial" w:hAnsi="Arial"/>
              <w:b/>
              <w:i w:val="0"/>
              <w:color w:val="52627A"/>
              <w:sz w:val="15"/>
            </w:rPr>
            <w:t xml:space="preserve">PAGE </w:t>
          </w:r>
          <w:r>
            <w:rPr>
              <w:rFonts w:ascii="Arial" w:hAnsi="Arial"/>
              <w:color w:val="52627A"/>
              <w:sz w:val="16"/>
            </w:rPr>
            <w:fldChar w:fldCharType="begin"/>
            <w:instrText xml:space="preserve">PAGE</w:instrText>
            <w:fldChar w:fldCharType="separate"/>
            <w:t>1</w: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12233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00"/>
      <w:outlineLvl w:val="0"/>
    </w:pPr>
    <w:rPr>
      <w:rFonts w:asciiTheme="majorHAnsi" w:eastAsiaTheme="majorEastAsia" w:hAnsiTheme="majorHAnsi" w:cstheme="majorBidi" w:ascii="Arial" w:hAnsi="Arial"/>
      <w:b/>
      <w:bCs/>
      <w:color w:val="0B2343"/>
      <w:sz w:val="40"/>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Arial" w:hAnsi="Arial"/>
      <w:b/>
      <w:bCs/>
      <w:color w:val="2457E6"/>
      <w:sz w:val="25"/>
      <w:szCs w:val="26"/>
    </w:rPr>
  </w:style>
  <w:style w:type="paragraph" w:styleId="Heading3">
    <w:name w:val="heading 3"/>
    <w:basedOn w:val="Normal"/>
    <w:next w:val="Normal"/>
    <w:link w:val="Heading3Char"/>
    <w:uiPriority w:val="9"/>
    <w:unhideWhenUsed/>
    <w:qFormat/>
    <w:rsid w:val="00FC693F"/>
    <w:pPr>
      <w:keepNext/>
      <w:keepLines/>
      <w:spacing w:before="120" w:after="100"/>
      <w:outlineLvl w:val="2"/>
    </w:pPr>
    <w:rPr>
      <w:rFonts w:asciiTheme="majorHAnsi" w:eastAsiaTheme="majorEastAsia" w:hAnsiTheme="majorHAnsi" w:cstheme="majorBidi" w:ascii="Arial" w:hAnsi="Arial"/>
      <w:b/>
      <w:bCs/>
      <w:color w:val="1223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0B2343"/>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317" w:hanging="173"/>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Information Security Plan Template for Tax and Accounting Practices</dc:title>
  <dc:subject>Editable 2026 professional WISP template for U.S. tax and accounting practices</dc:subject>
  <dc:creator>Small Business Insured Editorial Team</dc:creator>
  <cp:keywords>WISP, tax preparer, accounting practice, IRS Publication 5708, FTC Safeguards Rule</cp:keywords>
  <dc:description>Independent educational template. Customize and obtain qualified professional review.</dc:description>
  <cp:lastModifiedBy/>
  <cp:revision>1</cp:revision>
  <dcterms:created xsi:type="dcterms:W3CDTF">2013-12-23T23:15:00Z</dcterms:created>
  <dcterms:modified xsi:type="dcterms:W3CDTF">2013-12-23T23:15:00Z</dcterms:modified>
  <cp:category/>
</cp:coreProperties>
</file>